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61" w:rsidRDefault="00817237">
      <w:pPr>
        <w:jc w:val="both"/>
      </w:pPr>
      <w:r>
        <w:rPr>
          <w:b/>
          <w:i/>
        </w:rPr>
        <w:t>Suvestinė redakcija nuo 2019-12-14</w:t>
      </w:r>
    </w:p>
    <w:p w:rsidR="00BE0861" w:rsidRDefault="00BE0861">
      <w:pPr>
        <w:jc w:val="both"/>
        <w:rPr>
          <w:sz w:val="20"/>
        </w:rPr>
      </w:pPr>
    </w:p>
    <w:p w:rsidR="00BE0861" w:rsidRDefault="00817237">
      <w:pPr>
        <w:jc w:val="both"/>
        <w:rPr>
          <w:sz w:val="20"/>
        </w:rPr>
      </w:pPr>
      <w:r>
        <w:rPr>
          <w:i/>
          <w:sz w:val="20"/>
        </w:rPr>
        <w:t xml:space="preserve">Įsakymas paskelbtas: Žin. 2006, Nr. </w:t>
      </w:r>
      <w:hyperlink r:id="rId6" w:history="1">
        <w:r w:rsidRPr="00532B9F">
          <w:rPr>
            <w:rFonts w:eastAsia="MS Mincho"/>
            <w:i/>
            <w:iCs/>
            <w:color w:val="0000FF" w:themeColor="hyperlink"/>
            <w:sz w:val="20"/>
            <w:u w:val="single"/>
          </w:rPr>
          <w:t>2-32</w:t>
        </w:r>
      </w:hyperlink>
      <w:r>
        <w:rPr>
          <w:rFonts w:eastAsia="MS Mincho"/>
          <w:i/>
          <w:iCs/>
          <w:sz w:val="20"/>
        </w:rPr>
        <w:t>, i. k. 105110MISAK00B1-720</w:t>
      </w:r>
    </w:p>
    <w:p w:rsidR="00BE0861" w:rsidRDefault="00BE0861">
      <w:pPr>
        <w:jc w:val="both"/>
        <w:rPr>
          <w:sz w:val="20"/>
        </w:rPr>
      </w:pPr>
    </w:p>
    <w:p w:rsidR="00BE0861" w:rsidRDefault="00817237">
      <w:pPr>
        <w:tabs>
          <w:tab w:val="center" w:pos="4153"/>
          <w:tab w:val="right" w:pos="8306"/>
        </w:tabs>
        <w:rPr>
          <w:lang w:val="en-GB"/>
        </w:rPr>
      </w:pPr>
      <w:r>
        <w:t xml:space="preserve"> </w:t>
      </w:r>
    </w:p>
    <w:p w:rsidR="00BE0861" w:rsidRDefault="00817237">
      <w:pPr>
        <w:jc w:val="center"/>
        <w:rPr>
          <w:b/>
          <w:lang w:eastAsia="lt-LT"/>
        </w:rPr>
      </w:pPr>
      <w:r>
        <w:rPr>
          <w:b/>
          <w:lang w:eastAsia="lt-LT"/>
        </w:rPr>
        <w:t>LIETUVOS RESPUBLIKOS VALSTYBINĖS MAISTO IR VETERINARIJOS TARNYBOS DIREKTORIUS</w:t>
      </w:r>
    </w:p>
    <w:p w:rsidR="00BE0861" w:rsidRDefault="00BE0861">
      <w:pPr>
        <w:jc w:val="center"/>
      </w:pPr>
    </w:p>
    <w:p w:rsidR="00BE0861" w:rsidRDefault="00817237">
      <w:pPr>
        <w:jc w:val="center"/>
        <w:rPr>
          <w:b/>
        </w:rPr>
      </w:pPr>
      <w:r>
        <w:rPr>
          <w:b/>
        </w:rPr>
        <w:t>Į S A K Y M A S</w:t>
      </w:r>
    </w:p>
    <w:p w:rsidR="00BE0861" w:rsidRDefault="00817237">
      <w:pPr>
        <w:jc w:val="center"/>
        <w:rPr>
          <w:b/>
        </w:rPr>
      </w:pPr>
      <w:r>
        <w:rPr>
          <w:b/>
        </w:rPr>
        <w:t>DĖL PREKYBOS ARKLINIŲ ŠEIMOS GYVŪNAIS IR JŲ IMPORTO IŠ TREČIŲJŲ ŠALIŲ VETERINARIJOS REIKALAVIMŲ PATVIRTINIMO</w:t>
      </w:r>
    </w:p>
    <w:p w:rsidR="00BE0861" w:rsidRDefault="00BE0861">
      <w:pPr>
        <w:jc w:val="center"/>
      </w:pPr>
    </w:p>
    <w:p w:rsidR="00BE0861" w:rsidRDefault="00817237">
      <w:pPr>
        <w:jc w:val="center"/>
      </w:pPr>
      <w:r>
        <w:t>2005 m. gruodžio 23 d. Nr. B1-720</w:t>
      </w:r>
    </w:p>
    <w:p w:rsidR="00BE0861" w:rsidRDefault="00817237">
      <w:pPr>
        <w:jc w:val="center"/>
      </w:pPr>
      <w:r>
        <w:t>Vilnius</w:t>
      </w:r>
    </w:p>
    <w:p w:rsidR="00BE0861" w:rsidRDefault="00BE0861">
      <w:pPr>
        <w:ind w:firstLine="709"/>
      </w:pPr>
    </w:p>
    <w:p w:rsidR="00BE0861" w:rsidRDefault="00817237">
      <w:pPr>
        <w:tabs>
          <w:tab w:val="left" w:pos="851"/>
        </w:tabs>
        <w:ind w:firstLine="709"/>
        <w:contextualSpacing/>
        <w:jc w:val="both"/>
      </w:pPr>
      <w:r>
        <w:rPr>
          <w:color w:val="000000"/>
          <w:szCs w:val="24"/>
        </w:rPr>
        <w:t>Vadovaudamasis Lietuvos Respublikos veterinarijos įstatymo 6</w:t>
      </w:r>
      <w:r>
        <w:rPr>
          <w:i/>
          <w:iCs/>
          <w:color w:val="000000"/>
          <w:szCs w:val="24"/>
        </w:rPr>
        <w:t xml:space="preserve"> </w:t>
      </w:r>
      <w:r>
        <w:rPr>
          <w:color w:val="000000"/>
          <w:szCs w:val="24"/>
        </w:rPr>
        <w:t>straipsnio 3 dalimi ir įgyvendindamas 2009</w:t>
      </w:r>
      <w:r>
        <w:rPr>
          <w:i/>
          <w:iCs/>
          <w:color w:val="000000"/>
          <w:szCs w:val="24"/>
        </w:rPr>
        <w:t xml:space="preserve"> </w:t>
      </w:r>
      <w:r>
        <w:rPr>
          <w:color w:val="000000"/>
          <w:szCs w:val="24"/>
        </w:rPr>
        <w:t>m. lapkričio 30</w:t>
      </w:r>
      <w:r>
        <w:rPr>
          <w:i/>
          <w:iCs/>
          <w:color w:val="000000"/>
          <w:szCs w:val="24"/>
        </w:rPr>
        <w:t xml:space="preserve"> </w:t>
      </w:r>
      <w:r>
        <w:rPr>
          <w:color w:val="000000"/>
          <w:szCs w:val="24"/>
        </w:rPr>
        <w:t>d. Tarybos direktyvą 2009/156/EB dėl gyvūnų sveikatos reikalavimų, reglamentuojančių arklinių šeimos gyvūnų importą iš trečiųjų šalių ir jų judėjimą (OL 2010</w:t>
      </w:r>
      <w:r>
        <w:rPr>
          <w:i/>
          <w:iCs/>
          <w:color w:val="000000"/>
          <w:szCs w:val="24"/>
        </w:rPr>
        <w:t xml:space="preserve"> </w:t>
      </w:r>
      <w:r>
        <w:rPr>
          <w:color w:val="000000"/>
          <w:szCs w:val="24"/>
        </w:rPr>
        <w:t xml:space="preserve">L 192, p. 1), su paskutiniais pakeitimais, padarytais </w:t>
      </w:r>
      <w:r>
        <w:rPr>
          <w:bCs/>
          <w:szCs w:val="24"/>
        </w:rPr>
        <w:t xml:space="preserve">2016 m. spalio 14 d. </w:t>
      </w:r>
      <w:r>
        <w:rPr>
          <w:rFonts w:cs="EUAlbertina"/>
          <w:bCs/>
          <w:color w:val="000000"/>
          <w:szCs w:val="24"/>
        </w:rPr>
        <w:t xml:space="preserve">Komisijos įgyvendinimo sprendimu </w:t>
      </w:r>
      <w:r>
        <w:rPr>
          <w:bCs/>
          <w:szCs w:val="24"/>
        </w:rPr>
        <w:t>(ES) 2016/1840</w:t>
      </w:r>
      <w:r>
        <w:rPr>
          <w:szCs w:val="24"/>
        </w:rPr>
        <w:t xml:space="preserve"> (OL 2016 L 280, p. 33)</w:t>
      </w:r>
      <w:r>
        <w:rPr>
          <w:color w:val="000000"/>
          <w:szCs w:val="24"/>
        </w:rPr>
        <w:t>:</w:t>
      </w:r>
      <w:r>
        <w:t xml:space="preserve"> </w:t>
      </w:r>
    </w:p>
    <w:p w:rsidR="00BE0861" w:rsidRDefault="00817237">
      <w:pPr>
        <w:rPr>
          <w:rFonts w:eastAsia="MS Mincho"/>
          <w:i/>
          <w:iCs/>
          <w:sz w:val="20"/>
        </w:rPr>
      </w:pPr>
      <w:r>
        <w:rPr>
          <w:rFonts w:eastAsia="MS Mincho"/>
          <w:i/>
          <w:iCs/>
          <w:sz w:val="20"/>
        </w:rPr>
        <w:t>Preambulės pakeitimai:</w:t>
      </w:r>
    </w:p>
    <w:p w:rsidR="00BE0861" w:rsidRDefault="00817237">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B1-342</w:t>
        </w:r>
      </w:hyperlink>
      <w:r>
        <w:rPr>
          <w:rFonts w:eastAsia="MS Mincho"/>
          <w:i/>
          <w:iCs/>
          <w:sz w:val="20"/>
        </w:rPr>
        <w:t>, 2010-09-20, Žin., 2010, Nr. 113-5816 (2010-09-25), i. k. 110110MISAK00B1-342</w:t>
      </w:r>
    </w:p>
    <w:p w:rsidR="00BE0861" w:rsidRDefault="00817237">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B1-340</w:t>
        </w:r>
      </w:hyperlink>
      <w:r>
        <w:rPr>
          <w:rFonts w:eastAsia="MS Mincho"/>
          <w:i/>
          <w:iCs/>
          <w:sz w:val="20"/>
        </w:rPr>
        <w:t>, 2011-06-30, Žin., 2011, Nr. 95-4493 (2011-07-23), i. k. 111110MISAK00B1-340</w:t>
      </w:r>
    </w:p>
    <w:p w:rsidR="00BE0861" w:rsidRDefault="00817237">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B1-897</w:t>
        </w:r>
      </w:hyperlink>
      <w:r>
        <w:rPr>
          <w:rFonts w:eastAsia="MS Mincho"/>
          <w:i/>
          <w:iCs/>
          <w:sz w:val="20"/>
        </w:rPr>
        <w:t>, 2016-11-25, paskelbta TAR 2016-11-25, i. k. 2016-27510</w:t>
      </w:r>
    </w:p>
    <w:p w:rsidR="00BE0861" w:rsidRDefault="00BE0861"/>
    <w:p w:rsidR="00BE0861" w:rsidRDefault="00817237">
      <w:pPr>
        <w:widowControl w:val="0"/>
        <w:shd w:val="clear" w:color="auto" w:fill="FFFFFF"/>
        <w:ind w:firstLine="709"/>
        <w:jc w:val="both"/>
      </w:pPr>
      <w:r>
        <w:t xml:space="preserve">1. </w:t>
      </w:r>
      <w:r>
        <w:rPr>
          <w:spacing w:val="60"/>
        </w:rPr>
        <w:t>Tvirtinu</w:t>
      </w:r>
      <w:r>
        <w:rPr>
          <w:spacing w:val="20"/>
        </w:rPr>
        <w:t xml:space="preserve"> </w:t>
      </w:r>
      <w:r>
        <w:t>pridedamus Prekybos arklinių šeimos gyvūnais ir jų importo iš trečiųjų šalių veterinarijos reikalavimus.</w:t>
      </w:r>
    </w:p>
    <w:p w:rsidR="00BE0861" w:rsidRDefault="00817237">
      <w:pPr>
        <w:widowControl w:val="0"/>
        <w:shd w:val="clear" w:color="auto" w:fill="FFFFFF"/>
        <w:ind w:firstLine="709"/>
        <w:jc w:val="both"/>
      </w:pPr>
      <w:r>
        <w:t xml:space="preserve">2. </w:t>
      </w:r>
      <w:r>
        <w:rPr>
          <w:spacing w:val="60"/>
        </w:rPr>
        <w:t>Laikau</w:t>
      </w:r>
      <w:r>
        <w:rPr>
          <w:spacing w:val="20"/>
        </w:rPr>
        <w:t xml:space="preserve"> </w:t>
      </w:r>
      <w:r>
        <w:rPr>
          <w:spacing w:val="60"/>
        </w:rPr>
        <w:t>netekusiu</w:t>
      </w:r>
      <w:r>
        <w:rPr>
          <w:spacing w:val="20"/>
        </w:rPr>
        <w:t xml:space="preserve"> </w:t>
      </w:r>
      <w:r>
        <w:rPr>
          <w:spacing w:val="60"/>
        </w:rPr>
        <w:t>galios</w:t>
      </w:r>
      <w:r>
        <w:rPr>
          <w:spacing w:val="20"/>
        </w:rPr>
        <w:t xml:space="preserve"> </w:t>
      </w:r>
      <w:r>
        <w:t xml:space="preserve">Valstybinės maisto ir veterinarijos tarnybos direktoriaus </w:t>
      </w:r>
      <w:smartTag w:uri="urn:schemas-microsoft-com:office:smarttags" w:element="metricconverter">
        <w:smartTagPr>
          <w:attr w:name="ProductID" w:val="2002 m"/>
        </w:smartTagPr>
        <w:r>
          <w:t>2002 m</w:t>
        </w:r>
      </w:smartTag>
      <w:r>
        <w:t xml:space="preserve">. spalio 9 d. įsakymą Nr. 464 „Dėl Arklių prekybos su ES šalimis ir importo iš trečiųjų šalių veterinarijos reikalavimų patvirtinimo“ (Žin., 2002, Nr. </w:t>
      </w:r>
      <w:hyperlink r:id="rId10" w:tgtFrame="_blank" w:history="1">
        <w:r>
          <w:rPr>
            <w:color w:val="0000FF" w:themeColor="hyperlink"/>
            <w:u w:val="single"/>
          </w:rPr>
          <w:t>106-4777</w:t>
        </w:r>
      </w:hyperlink>
      <w:r>
        <w:t>).</w:t>
      </w:r>
    </w:p>
    <w:p w:rsidR="00BE0861" w:rsidRDefault="00817237">
      <w:pPr>
        <w:ind w:firstLine="709"/>
        <w:jc w:val="both"/>
        <w:rPr>
          <w:color w:val="000000"/>
          <w:szCs w:val="24"/>
          <w:lang w:eastAsia="lt-LT"/>
        </w:rPr>
      </w:pPr>
      <w:r>
        <w:rPr>
          <w:color w:val="000000"/>
          <w:szCs w:val="24"/>
          <w:lang w:eastAsia="lt-LT"/>
        </w:rPr>
        <w:t xml:space="preserve">3. P a v e d u: </w:t>
      </w:r>
    </w:p>
    <w:p w:rsidR="00BE0861" w:rsidRDefault="00817237">
      <w:pPr>
        <w:ind w:firstLine="709"/>
        <w:jc w:val="both"/>
        <w:rPr>
          <w:szCs w:val="24"/>
          <w:lang w:eastAsia="lt-LT"/>
        </w:rPr>
      </w:pPr>
      <w:r>
        <w:rPr>
          <w:bCs/>
          <w:szCs w:val="24"/>
          <w:lang w:eastAsia="lt-LT"/>
        </w:rPr>
        <w:t>3.1. įsakymo vykdymą Valstybinės maisto ir veterinarijos tarnybos teritoriniams padaliniams ir pasienio veterinarijos postams (skyriams);</w:t>
      </w:r>
    </w:p>
    <w:p w:rsidR="00BE0861" w:rsidRDefault="00817237">
      <w:pPr>
        <w:ind w:firstLine="709"/>
        <w:jc w:val="both"/>
      </w:pPr>
      <w:r>
        <w:rPr>
          <w:bCs/>
          <w:szCs w:val="24"/>
          <w:lang w:eastAsia="lt-LT"/>
        </w:rPr>
        <w:t>3.2.</w:t>
      </w:r>
      <w:r>
        <w:rPr>
          <w:szCs w:val="24"/>
          <w:lang w:eastAsia="lt-LT"/>
        </w:rPr>
        <w:t xml:space="preserve"> įsakymo vykdymo kontrolę Valstybinės maisto ir veterinarijos tarnybos Gyvūnų sveikatingumo ir gerovės ir </w:t>
      </w:r>
      <w:r>
        <w:rPr>
          <w:bCs/>
          <w:szCs w:val="24"/>
          <w:lang w:eastAsia="lt-LT"/>
        </w:rPr>
        <w:t>Pasienio maisto ir veterinarinės kontrolės skyriams</w:t>
      </w:r>
      <w:r>
        <w:rPr>
          <w:szCs w:val="24"/>
          <w:lang w:eastAsia="lt-LT"/>
        </w:rPr>
        <w:t>.</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B1-340</w:t>
        </w:r>
      </w:hyperlink>
      <w:r>
        <w:rPr>
          <w:rFonts w:eastAsia="MS Mincho"/>
          <w:i/>
          <w:iCs/>
          <w:sz w:val="20"/>
        </w:rPr>
        <w:t>, 2011-06-30, Žin., 2011, Nr. 95-4493 (2011-07-23), i. k. 111110MISAK00B1-340</w:t>
      </w:r>
    </w:p>
    <w:p w:rsidR="00BE0861" w:rsidRDefault="00817237">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B1-351</w:t>
        </w:r>
      </w:hyperlink>
      <w:r>
        <w:rPr>
          <w:rFonts w:eastAsia="MS Mincho"/>
          <w:i/>
          <w:iCs/>
          <w:sz w:val="20"/>
        </w:rPr>
        <w:t>, 2019-05-21, paskelbta TAR 2019-05-21, i. k. 2019-08051</w:t>
      </w:r>
    </w:p>
    <w:p w:rsidR="00BE0861" w:rsidRDefault="00BE0861"/>
    <w:p w:rsidR="00BE0861" w:rsidRDefault="00BE0861">
      <w:pPr>
        <w:tabs>
          <w:tab w:val="right" w:pos="9639"/>
        </w:tabs>
      </w:pPr>
    </w:p>
    <w:p w:rsidR="00BE0861" w:rsidRDefault="00BE0861">
      <w:pPr>
        <w:tabs>
          <w:tab w:val="right" w:pos="9639"/>
        </w:tabs>
      </w:pPr>
    </w:p>
    <w:p w:rsidR="00BE0861" w:rsidRDefault="00BE0861">
      <w:pPr>
        <w:tabs>
          <w:tab w:val="right" w:pos="9639"/>
        </w:tabs>
      </w:pPr>
    </w:p>
    <w:p w:rsidR="00BE0861" w:rsidRDefault="00817237">
      <w:pPr>
        <w:tabs>
          <w:tab w:val="right" w:pos="9639"/>
        </w:tabs>
      </w:pPr>
      <w:r>
        <w:rPr>
          <w:caps/>
        </w:rPr>
        <w:t>DIREKTORIUS</w:t>
      </w:r>
      <w:r>
        <w:rPr>
          <w:caps/>
        </w:rPr>
        <w:tab/>
        <w:t>KAZIMIERAS LUKAUSKAS</w:t>
      </w:r>
    </w:p>
    <w:p w:rsidR="00BE0861" w:rsidRDefault="00BE0861">
      <w:pPr>
        <w:widowControl w:val="0"/>
        <w:shd w:val="clear" w:color="auto" w:fill="FFFFFF"/>
        <w:ind w:left="5103" w:hanging="1"/>
        <w:sectPr w:rsidR="00BE0861">
          <w:headerReference w:type="even" r:id="rId13"/>
          <w:headerReference w:type="default" r:id="rId14"/>
          <w:footerReference w:type="even" r:id="rId15"/>
          <w:footerReference w:type="default" r:id="rId16"/>
          <w:headerReference w:type="first" r:id="rId17"/>
          <w:footerReference w:type="first" r:id="rId18"/>
          <w:pgSz w:w="11907" w:h="16839" w:code="9"/>
          <w:pgMar w:top="1701" w:right="567" w:bottom="1134" w:left="1701" w:header="709" w:footer="709" w:gutter="0"/>
          <w:pgNumType w:start="1"/>
          <w:cols w:space="708"/>
          <w:titlePg/>
          <w:docGrid w:linePitch="326"/>
        </w:sectPr>
      </w:pPr>
    </w:p>
    <w:p w:rsidR="00BE0861" w:rsidRDefault="00817237">
      <w:pPr>
        <w:widowControl w:val="0"/>
        <w:shd w:val="clear" w:color="auto" w:fill="FFFFFF"/>
        <w:ind w:left="5103" w:hanging="1"/>
      </w:pPr>
      <w:r>
        <w:lastRenderedPageBreak/>
        <w:t>PATVIRTINTA</w:t>
      </w:r>
    </w:p>
    <w:p w:rsidR="00BE0861" w:rsidRDefault="00817237">
      <w:pPr>
        <w:widowControl w:val="0"/>
        <w:shd w:val="clear" w:color="auto" w:fill="FFFFFF"/>
        <w:ind w:firstLine="5102"/>
      </w:pPr>
      <w:r>
        <w:t>Valstybinės maisto ir</w:t>
      </w:r>
    </w:p>
    <w:p w:rsidR="00BE0861" w:rsidRDefault="00817237">
      <w:pPr>
        <w:widowControl w:val="0"/>
        <w:shd w:val="clear" w:color="auto" w:fill="FFFFFF"/>
        <w:ind w:firstLine="5102"/>
      </w:pPr>
      <w:r>
        <w:t>veterinarijos tarnybos direktoriaus</w:t>
      </w:r>
    </w:p>
    <w:p w:rsidR="00BE0861" w:rsidRDefault="00817237">
      <w:pPr>
        <w:widowControl w:val="0"/>
        <w:shd w:val="clear" w:color="auto" w:fill="FFFFFF"/>
        <w:ind w:firstLine="5102"/>
      </w:pPr>
      <w:smartTag w:uri="urn:schemas-microsoft-com:office:smarttags" w:element="metricconverter">
        <w:smartTagPr>
          <w:attr w:name="ProductID" w:val="2005 m"/>
        </w:smartTagPr>
        <w:r>
          <w:t>2005 m</w:t>
        </w:r>
      </w:smartTag>
      <w:r>
        <w:t>. gruodžio 23 d. įsakymu Nr. B1-720</w:t>
      </w:r>
    </w:p>
    <w:p w:rsidR="00BE0861" w:rsidRDefault="00BE0861">
      <w:pPr>
        <w:ind w:firstLine="709"/>
      </w:pPr>
    </w:p>
    <w:p w:rsidR="00BE0861" w:rsidRDefault="00817237">
      <w:pPr>
        <w:widowControl w:val="0"/>
        <w:shd w:val="clear" w:color="auto" w:fill="FFFFFF"/>
        <w:jc w:val="center"/>
      </w:pPr>
      <w:r>
        <w:rPr>
          <w:b/>
          <w:bCs/>
        </w:rPr>
        <w:t>PREKYBOS ARKLINIŲ ŠEIMOS GYVŪNAIS IR JŲ IMPORTO IŠ TREČIŲJŲ ŠALIŲ VETERINARIJOS REIKALAVIMAI</w:t>
      </w:r>
    </w:p>
    <w:p w:rsidR="00BE0861" w:rsidRDefault="00BE0861">
      <w:pPr>
        <w:ind w:firstLine="709"/>
      </w:pPr>
    </w:p>
    <w:p w:rsidR="00BE0861" w:rsidRDefault="00817237">
      <w:pPr>
        <w:ind w:firstLine="567"/>
        <w:jc w:val="both"/>
        <w:rPr>
          <w:b/>
          <w:bCs/>
          <w:sz w:val="22"/>
        </w:rPr>
      </w:pPr>
      <w:r>
        <w:rPr>
          <w:b/>
          <w:sz w:val="22"/>
        </w:rPr>
        <w:t>Preambule.</w:t>
      </w:r>
      <w:r>
        <w:rPr>
          <w:rFonts w:eastAsia="MS Mincho"/>
          <w:i/>
          <w:iCs/>
          <w:sz w:val="20"/>
        </w:rPr>
        <w:t xml:space="preserve"> Neteko galios nuo 2009-09-06</w:t>
      </w:r>
    </w:p>
    <w:p w:rsidR="00BE0861" w:rsidRDefault="00817237">
      <w:pPr>
        <w:rPr>
          <w:rFonts w:eastAsia="MS Mincho"/>
          <w:i/>
          <w:iCs/>
          <w:sz w:val="20"/>
        </w:rPr>
      </w:pPr>
      <w:r>
        <w:rPr>
          <w:rFonts w:eastAsia="MS Mincho"/>
          <w:i/>
          <w:iCs/>
          <w:sz w:val="20"/>
        </w:rPr>
        <w:t>Preambulės naikinimas:</w:t>
      </w:r>
    </w:p>
    <w:p w:rsidR="00BE0861" w:rsidRDefault="00817237">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B1-351</w:t>
        </w:r>
      </w:hyperlink>
      <w:r>
        <w:rPr>
          <w:rFonts w:eastAsia="MS Mincho"/>
          <w:i/>
          <w:iCs/>
          <w:sz w:val="20"/>
        </w:rPr>
        <w:t>, 2009-08-06, Žin. 2009, Nr. 106-4466 (2009-09-05), i. k. 109110MISAK00B1-351</w:t>
      </w:r>
    </w:p>
    <w:p w:rsidR="00BE0861" w:rsidRDefault="00BE0861"/>
    <w:p w:rsidR="00BE0861" w:rsidRDefault="00817237">
      <w:pPr>
        <w:widowControl w:val="0"/>
        <w:shd w:val="clear" w:color="auto" w:fill="FFFFFF"/>
        <w:jc w:val="center"/>
      </w:pPr>
      <w:r>
        <w:rPr>
          <w:b/>
          <w:bCs/>
        </w:rPr>
        <w:t>I. BENDROSIOS NUOSTATOS</w:t>
      </w:r>
    </w:p>
    <w:p w:rsidR="00BE0861" w:rsidRDefault="00BE0861">
      <w:pPr>
        <w:ind w:firstLine="709"/>
        <w:jc w:val="both"/>
      </w:pPr>
    </w:p>
    <w:p w:rsidR="00BE0861" w:rsidRDefault="00817237">
      <w:pPr>
        <w:widowControl w:val="0"/>
        <w:suppressAutoHyphens/>
        <w:ind w:firstLine="709"/>
        <w:jc w:val="both"/>
      </w:pPr>
      <w:r>
        <w:rPr>
          <w:color w:val="000000"/>
        </w:rPr>
        <w:t>1. Prekybos arklinių šeimos gyvūnais ir jų importo iš trečiųjų šalių veterinarijos reikalavimų (toliau – Reikalavimai) tikslas – nustatyti arklinių šeimos gyvūnų, vežamų į Europos Sąjungos (toliau – ES) šalis ir importuojamų iš trečiųjų šalių, sveikatos sąlygas.</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B1-351</w:t>
        </w:r>
      </w:hyperlink>
      <w:r>
        <w:rPr>
          <w:rFonts w:eastAsia="MS Mincho"/>
          <w:i/>
          <w:iCs/>
          <w:sz w:val="20"/>
        </w:rPr>
        <w:t>, 2009-08-06, Žin., 2009, Nr. 106-4466 (2009-09-05), i. k. 109110MISAK00B1-351</w:t>
      </w:r>
    </w:p>
    <w:p w:rsidR="00BE0861" w:rsidRDefault="00BE0861"/>
    <w:p w:rsidR="00BE0861" w:rsidRDefault="00817237">
      <w:pPr>
        <w:widowControl w:val="0"/>
        <w:ind w:firstLine="709"/>
        <w:jc w:val="both"/>
      </w:pPr>
      <w:r>
        <w:t>2. Vartojamos sąvokos:</w:t>
      </w:r>
    </w:p>
    <w:p w:rsidR="00BE0861" w:rsidRDefault="00817237">
      <w:pPr>
        <w:widowControl w:val="0"/>
        <w:ind w:firstLine="709"/>
        <w:jc w:val="both"/>
      </w:pPr>
      <w:r>
        <w:rPr>
          <w:b/>
          <w:bCs/>
        </w:rPr>
        <w:t xml:space="preserve">Afrikine arklių liga neužkrėsta šalis – </w:t>
      </w:r>
      <w:r>
        <w:t>ES šalis ar trečioji šalis, kurios teritorijoje paskutinius dvejus metus nenustatyta klinikinių, serologinių (nevakcinuotų arklinių šeimos gyvūnų) ar kitų afrikinės arklių ligos požymių ir kurioje paskutinius 12 mėnesių nebuvo vakcinuojama nuo šios ligos.</w:t>
      </w:r>
    </w:p>
    <w:p w:rsidR="00BE0861" w:rsidRDefault="00817237">
      <w:pPr>
        <w:widowControl w:val="0"/>
        <w:ind w:firstLine="709"/>
        <w:jc w:val="both"/>
      </w:pPr>
      <w:r>
        <w:rPr>
          <w:b/>
          <w:bCs/>
        </w:rPr>
        <w:t xml:space="preserve">Arklinių šeimos gyvūnai </w:t>
      </w:r>
      <w:r>
        <w:t xml:space="preserve">(toliau – arkliniai) – laukiniai ar prijaukinti arklinių genties gyvūnai (arkliai, zebrai, </w:t>
      </w:r>
      <w:proofErr w:type="spellStart"/>
      <w:r>
        <w:t>tarpanai</w:t>
      </w:r>
      <w:proofErr w:type="spellEnd"/>
      <w:r>
        <w:t>, asilai ir kt.) arba sukryžminti šių gyvūnų palikuonys.</w:t>
      </w:r>
    </w:p>
    <w:p w:rsidR="00BE0861" w:rsidRDefault="00817237">
      <w:pPr>
        <w:widowControl w:val="0"/>
        <w:ind w:firstLine="709"/>
        <w:jc w:val="both"/>
      </w:pPr>
      <w:r>
        <w:rPr>
          <w:b/>
          <w:bCs/>
        </w:rPr>
        <w:t xml:space="preserve">Privalomos pranešti ligos – </w:t>
      </w:r>
      <w:r>
        <w:t>ligos, išvardintos 1 priede.</w:t>
      </w:r>
    </w:p>
    <w:p w:rsidR="00BE0861" w:rsidRDefault="00817237">
      <w:pPr>
        <w:widowControl w:val="0"/>
        <w:ind w:firstLine="709"/>
        <w:jc w:val="both"/>
      </w:pPr>
      <w:r>
        <w:rPr>
          <w:b/>
          <w:bCs/>
        </w:rPr>
        <w:t xml:space="preserve">Registruoti arklinių šeimos gyvūnai </w:t>
      </w:r>
      <w:r>
        <w:t>(toliau – registruoti arkliniai) – arkliniai, kurių tapatybė nurodyta tapatybės dokumentuose, išduotuose arklinio kilmės šalies veislininkystės institucijos ar kitos kompetentingos institucijos, pildančios gyvūnų kilmės knygą ar gyvūnų veislės registrą, arba tarptautinės asociacijos ar organizacijos, kuri tvarko reikalus, susijusius su varžybose ar lenktynėse dalyvaujančiais arkliniais.</w:t>
      </w:r>
    </w:p>
    <w:p w:rsidR="00BE0861" w:rsidRDefault="00817237">
      <w:pPr>
        <w:widowControl w:val="0"/>
        <w:ind w:firstLine="709"/>
        <w:jc w:val="both"/>
      </w:pPr>
      <w:r>
        <w:rPr>
          <w:b/>
          <w:bCs/>
        </w:rPr>
        <w:t xml:space="preserve">Skersti skirti arklinių šeimos gyvūnai </w:t>
      </w:r>
      <w:r>
        <w:t>(toliau – skersti skirti arkliniai) – arkliniai, kurie skirti vežti paskersti tiesiai į skerdyklą arba per patvirtintus turgus ar surinkimo centrus.</w:t>
      </w:r>
    </w:p>
    <w:p w:rsidR="00BE0861" w:rsidRDefault="00817237">
      <w:pPr>
        <w:widowControl w:val="0"/>
        <w:ind w:firstLine="709"/>
        <w:jc w:val="both"/>
      </w:pPr>
      <w:r>
        <w:rPr>
          <w:b/>
          <w:bCs/>
        </w:rPr>
        <w:t xml:space="preserve">Laikymo vieta – </w:t>
      </w:r>
      <w:r>
        <w:t>žemės ūkio paskirties įmonė ar mokymo įstaiga, arklidė ar kitos patalpos, kuriose laikomi ar auginami arkliniai.</w:t>
      </w:r>
    </w:p>
    <w:p w:rsidR="00BE0861" w:rsidRDefault="00817237">
      <w:pPr>
        <w:widowControl w:val="0"/>
        <w:ind w:firstLine="709"/>
        <w:jc w:val="both"/>
      </w:pPr>
      <w:r>
        <w:rPr>
          <w:b/>
          <w:bCs/>
        </w:rPr>
        <w:t xml:space="preserve">Valstybinė maisto ir veterinarijos tarnyba </w:t>
      </w:r>
      <w:r>
        <w:t>(toliau – VMVT) – Lietuvos Respublikos kompetentinga institucija.</w:t>
      </w:r>
    </w:p>
    <w:p w:rsidR="00BE0861" w:rsidRDefault="00817237">
      <w:pPr>
        <w:widowControl w:val="0"/>
        <w:ind w:firstLine="709"/>
        <w:jc w:val="both"/>
      </w:pPr>
      <w:r>
        <w:rPr>
          <w:b/>
          <w:bCs/>
        </w:rPr>
        <w:t xml:space="preserve">Valstybinis veterinarijos gydytojas – </w:t>
      </w:r>
      <w:r>
        <w:t>veterinarijos gydytojas, pagal Lietuvos Respublikos veterinarijos įstatymą atliekantis valstybinės veterinarijos funkcijas.</w:t>
      </w:r>
    </w:p>
    <w:p w:rsidR="00BE0861" w:rsidRDefault="00817237">
      <w:pPr>
        <w:widowControl w:val="0"/>
        <w:ind w:firstLine="709"/>
        <w:jc w:val="both"/>
      </w:pPr>
      <w:r>
        <w:rPr>
          <w:b/>
          <w:bCs/>
        </w:rPr>
        <w:t xml:space="preserve">Veisliniai ir produkcijos arklinių šeimos gyvūnai </w:t>
      </w:r>
      <w:r>
        <w:t>(toliau – veisliniai ir produkcijos arkliniai) – arkliniai, kurie nepriskiriami registruotiems ir skersti skirtiems arkliniams.</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B1-351</w:t>
        </w:r>
      </w:hyperlink>
      <w:r>
        <w:rPr>
          <w:rFonts w:eastAsia="MS Mincho"/>
          <w:i/>
          <w:iCs/>
          <w:sz w:val="20"/>
        </w:rPr>
        <w:t>, 2009-08-06, Žin., 2009, Nr. 106-4466 (2009-09-05), i. k. 109110MISAK00B1-351</w:t>
      </w:r>
    </w:p>
    <w:p w:rsidR="00BE0861" w:rsidRDefault="00BE0861"/>
    <w:p w:rsidR="00BE0861" w:rsidRDefault="00BE0861">
      <w:pPr>
        <w:widowControl w:val="0"/>
        <w:shd w:val="clear" w:color="auto" w:fill="FFFFFF"/>
        <w:jc w:val="center"/>
      </w:pPr>
    </w:p>
    <w:p w:rsidR="00BE0861" w:rsidRDefault="00817237">
      <w:pPr>
        <w:widowControl w:val="0"/>
        <w:shd w:val="clear" w:color="auto" w:fill="FFFFFF"/>
        <w:jc w:val="center"/>
      </w:pPr>
      <w:r>
        <w:rPr>
          <w:b/>
          <w:bCs/>
        </w:rPr>
        <w:t>II. PREKYBOS ARKLINIAIS REIKALAVIMAI</w:t>
      </w:r>
    </w:p>
    <w:p w:rsidR="00BE0861" w:rsidRDefault="00BE0861">
      <w:pPr>
        <w:ind w:firstLine="709"/>
        <w:jc w:val="both"/>
      </w:pPr>
    </w:p>
    <w:p w:rsidR="00BE0861" w:rsidRDefault="00817237">
      <w:pPr>
        <w:widowControl w:val="0"/>
        <w:shd w:val="clear" w:color="auto" w:fill="FFFFFF"/>
        <w:ind w:firstLine="709"/>
        <w:jc w:val="both"/>
      </w:pPr>
      <w:r>
        <w:t>3. VMVT leidžia vežti registruotus arklinius Lietuvos Respublikoje arba juos siųsti į kitas ES šalis tais atvejais, kai jie atitinka 4–16 punktuose nurodytas sąlygas. VMVT gali suteikti išimtis vežant arklinius, jei Lietuvos Respublika yra paskirties šalis:</w:t>
      </w:r>
    </w:p>
    <w:p w:rsidR="00BE0861" w:rsidRDefault="00817237">
      <w:pPr>
        <w:widowControl w:val="0"/>
        <w:shd w:val="clear" w:color="auto" w:fill="FFFFFF"/>
        <w:ind w:firstLine="709"/>
        <w:jc w:val="both"/>
      </w:pPr>
      <w:r>
        <w:lastRenderedPageBreak/>
        <w:t>3.1. kuriais sporto ar rekreacijos tikslais jojama ar kurie vežami netoli Lietuvos Respublikos sienos esančiais keliais;</w:t>
      </w:r>
    </w:p>
    <w:p w:rsidR="00BE0861" w:rsidRDefault="00817237">
      <w:pPr>
        <w:widowControl w:val="0"/>
        <w:shd w:val="clear" w:color="auto" w:fill="FFFFFF"/>
        <w:ind w:firstLine="709"/>
        <w:jc w:val="both"/>
      </w:pPr>
      <w:r>
        <w:t>3.2. kurie dalyvauja įgaliotos vietos institucijos organizuojamuose kultūriniuose ar panašiuose renginiuose ar veikloje netoli Lietuvos Respublikos sienų;</w:t>
      </w:r>
    </w:p>
    <w:p w:rsidR="00BE0861" w:rsidRDefault="00817237">
      <w:pPr>
        <w:widowControl w:val="0"/>
        <w:shd w:val="clear" w:color="auto" w:fill="FFFFFF"/>
        <w:ind w:firstLine="709"/>
        <w:jc w:val="both"/>
      </w:pPr>
      <w:r>
        <w:t>3.3. kuriuos tik laikinai leidžiama ganyti ar jais dirbti netoli Lietuvos Respublikos sienų; VMVT informuoja Europos Komisiją apie taikomas išimtis.</w:t>
      </w:r>
    </w:p>
    <w:p w:rsidR="00BE0861" w:rsidRDefault="00817237">
      <w:pPr>
        <w:widowControl w:val="0"/>
        <w:shd w:val="clear" w:color="auto" w:fill="FFFFFF"/>
        <w:ind w:firstLine="709"/>
        <w:jc w:val="both"/>
      </w:pPr>
      <w:r>
        <w:t>4. Arkliniai turi būti kliniškai apžiūrėti ne anksčiau kaip likus 48 valandoms iki jų pakrovimo; neturi būti nustatyta klinikinių ligų požymių. Registruoti arkliniai kliniškai apžiūrimi, nepažeidžiant 17 punkto reikalavimų, jei yra skirti prekybai.</w:t>
      </w:r>
    </w:p>
    <w:p w:rsidR="00BE0861" w:rsidRDefault="00817237">
      <w:pPr>
        <w:widowControl w:val="0"/>
        <w:shd w:val="clear" w:color="auto" w:fill="FFFFFF"/>
        <w:ind w:firstLine="709"/>
        <w:jc w:val="both"/>
      </w:pPr>
      <w:r>
        <w:t>5. Nepažeisdamas 8 punkto reikalavimų dėl privalomų pranešti ligų, valstybinis veterinarijos gydytojas, atlikdamas arklinių klinikinį apžiūrėjimą, privalo įsitikinti, remdamasis laikytojo teiginiais, jog nėra pagrindo manyti, kad paskutines 15 dienų iki arklinių apžiūrėjimo arkliniai turėjo kontaktų su arkliniais, sergančiais užkrečiamosiomis ligomis.</w:t>
      </w:r>
    </w:p>
    <w:p w:rsidR="00BE0861" w:rsidRDefault="00817237">
      <w:pPr>
        <w:widowControl w:val="0"/>
        <w:shd w:val="clear" w:color="auto" w:fill="FFFFFF"/>
        <w:ind w:firstLine="709"/>
        <w:jc w:val="both"/>
      </w:pPr>
      <w:r>
        <w:t>6. Arkliniai neturi būti skirti skersti pagal nacionalinę užkrečiamųjų ligų likvidavimo programą.</w:t>
      </w:r>
    </w:p>
    <w:p w:rsidR="00BE0861" w:rsidRPr="005A6CD2" w:rsidRDefault="00817237">
      <w:pPr>
        <w:widowControl w:val="0"/>
        <w:shd w:val="clear" w:color="auto" w:fill="FFFFFF"/>
        <w:ind w:firstLine="709"/>
        <w:jc w:val="both"/>
        <w:rPr>
          <w:highlight w:val="yellow"/>
        </w:rPr>
      </w:pPr>
      <w:r>
        <w:t>7</w:t>
      </w:r>
      <w:r w:rsidRPr="005A6CD2">
        <w:rPr>
          <w:highlight w:val="yellow"/>
        </w:rPr>
        <w:t>. Arkliniai turi turėti tapatybės dokumentus:</w:t>
      </w:r>
    </w:p>
    <w:p w:rsidR="00BE0861" w:rsidRDefault="00817237">
      <w:pPr>
        <w:widowControl w:val="0"/>
        <w:shd w:val="clear" w:color="auto" w:fill="FFFFFF"/>
        <w:ind w:firstLine="709"/>
        <w:jc w:val="both"/>
      </w:pPr>
      <w:r w:rsidRPr="005A6CD2">
        <w:rPr>
          <w:highlight w:val="yellow"/>
        </w:rPr>
        <w:t>7.1. registruoti arkliniai – nustatyta tvarka išduotą tapatybės dokumentą, kuriame turi būti įrašai apie 10–12 punktuose nurodytas taikytas priemones;</w:t>
      </w:r>
      <w:bookmarkStart w:id="0" w:name="_GoBack"/>
      <w:bookmarkEnd w:id="0"/>
      <w:r>
        <w:t xml:space="preserve"> valstybinis veterinarijos gydytojas gali sustabdyti tapatybės dokumento galiojimą 8 punkte nurodytų draudimų galiojimo laikui; paskerdus registruotą arklinį, tapatybės dokumentas turi būti grąžinamas jį išdavusiai institucijai;</w:t>
      </w:r>
    </w:p>
    <w:p w:rsidR="00BE0861" w:rsidRDefault="00817237">
      <w:pPr>
        <w:widowControl w:val="0"/>
        <w:shd w:val="clear" w:color="auto" w:fill="FFFFFF"/>
        <w:ind w:firstLine="709"/>
        <w:jc w:val="both"/>
      </w:pPr>
      <w:r>
        <w:t>7.2. veisliniai ir produkcijos arkliniai – Europos Komisijos nustatyta tvarka; kol ši tvarka nėra nustatyta, taikomi VMVT nustatyti reikalavimai, apie kuriuos VMVT turi pranešti Europos Komisijai ir kitoms ES šalims.</w:t>
      </w:r>
    </w:p>
    <w:p w:rsidR="00BE0861" w:rsidRDefault="00817237">
      <w:pPr>
        <w:widowControl w:val="0"/>
        <w:shd w:val="clear" w:color="auto" w:fill="FFFFFF"/>
        <w:ind w:firstLine="709"/>
        <w:jc w:val="both"/>
      </w:pPr>
      <w:r>
        <w:t xml:space="preserve">8. Arkliniai turi atitikti 4–9 punktų reikalavimus ir neturi būti vežami iš laikymo vietų, kuriose paskelbti draudimai ar apribojimai: </w:t>
      </w:r>
    </w:p>
    <w:p w:rsidR="00BE0861" w:rsidRDefault="00817237">
      <w:pPr>
        <w:widowControl w:val="0"/>
        <w:shd w:val="clear" w:color="auto" w:fill="FFFFFF"/>
        <w:ind w:firstLine="709"/>
        <w:jc w:val="both"/>
      </w:pPr>
      <w:r>
        <w:t>8.1. jei laikymo vietoje buvo paskersti visi ligai imlių rūšių gyvūnai, apribojimai laikymo vietoje taikomi mažiausiai:</w:t>
      </w:r>
    </w:p>
    <w:p w:rsidR="00BE0861" w:rsidRDefault="00817237">
      <w:pPr>
        <w:widowControl w:val="0"/>
        <w:shd w:val="clear" w:color="auto" w:fill="FFFFFF"/>
        <w:ind w:firstLine="709"/>
        <w:jc w:val="both"/>
      </w:pPr>
      <w:r>
        <w:t>8.1.1. įtarus kergimo ligą – šešis mėnesius nuo paskutinio žinomo ar galimo arklinių kontakto su sergančiu arkliniu; eržilams šis draudimas taikomas iki jo iškastravimo,</w:t>
      </w:r>
    </w:p>
    <w:p w:rsidR="00BE0861" w:rsidRDefault="00817237">
      <w:pPr>
        <w:widowControl w:val="0"/>
        <w:shd w:val="clear" w:color="auto" w:fill="FFFFFF"/>
        <w:ind w:firstLine="709"/>
        <w:jc w:val="both"/>
      </w:pPr>
      <w:r>
        <w:t xml:space="preserve">8.1.2. įtarus įnoses ar arklių </w:t>
      </w:r>
      <w:proofErr w:type="spellStart"/>
      <w:r>
        <w:t>encefalomielitą</w:t>
      </w:r>
      <w:proofErr w:type="spellEnd"/>
      <w:r>
        <w:t xml:space="preserve"> – šešis mėnesius nuo šiomis ligomis sergančių arklinių paskerdimo dienos,</w:t>
      </w:r>
    </w:p>
    <w:p w:rsidR="00BE0861" w:rsidRDefault="00817237">
      <w:pPr>
        <w:widowControl w:val="0"/>
        <w:shd w:val="clear" w:color="auto" w:fill="FFFFFF"/>
        <w:ind w:firstLine="709"/>
        <w:jc w:val="both"/>
      </w:pPr>
      <w:r>
        <w:t xml:space="preserve">8.1.3. dėl infekcinės anemijos – kol paskerdus užkrėstus arklinius likusiems arkliniams du kartus kas tris mėnesius atlikus tyrimą </w:t>
      </w:r>
      <w:proofErr w:type="spellStart"/>
      <w:r>
        <w:t>Koginso</w:t>
      </w:r>
      <w:proofErr w:type="spellEnd"/>
      <w:r>
        <w:t xml:space="preserve"> metodu gaunami neigiami tyrimo rezultatai,</w:t>
      </w:r>
    </w:p>
    <w:p w:rsidR="00BE0861" w:rsidRDefault="00817237">
      <w:pPr>
        <w:widowControl w:val="0"/>
        <w:suppressAutoHyphens/>
        <w:ind w:firstLine="709"/>
        <w:jc w:val="both"/>
      </w:pPr>
      <w:r>
        <w:rPr>
          <w:color w:val="000000"/>
        </w:rPr>
        <w:t xml:space="preserve">8.1.4. šešis mėnesius nuo paskutinio užregistruoto </w:t>
      </w:r>
      <w:proofErr w:type="spellStart"/>
      <w:r>
        <w:rPr>
          <w:color w:val="000000"/>
        </w:rPr>
        <w:t>vezikulinio</w:t>
      </w:r>
      <w:proofErr w:type="spellEnd"/>
      <w:r>
        <w:rPr>
          <w:color w:val="000000"/>
        </w:rPr>
        <w:t xml:space="preserve"> stomatito atvejo,</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B1-342</w:t>
        </w:r>
      </w:hyperlink>
      <w:r>
        <w:rPr>
          <w:rFonts w:eastAsia="MS Mincho"/>
          <w:i/>
          <w:iCs/>
          <w:sz w:val="20"/>
        </w:rPr>
        <w:t>, 2010-09-20, Žin., 2010, Nr. 113-5816 (2010-09-25), i. k. 110110MISAK00B1-342</w:t>
      </w:r>
    </w:p>
    <w:p w:rsidR="00BE0861" w:rsidRDefault="00BE0861"/>
    <w:p w:rsidR="00BE0861" w:rsidRDefault="00817237">
      <w:pPr>
        <w:widowControl w:val="0"/>
        <w:shd w:val="clear" w:color="auto" w:fill="FFFFFF"/>
        <w:ind w:firstLine="709"/>
        <w:jc w:val="both"/>
      </w:pPr>
      <w:r>
        <w:t>8.1.5. vieną mėnesį nuo paskutinio užregistruoto pasiutligės atvejo,</w:t>
      </w:r>
    </w:p>
    <w:p w:rsidR="00BE0861" w:rsidRDefault="00817237">
      <w:pPr>
        <w:widowControl w:val="0"/>
        <w:shd w:val="clear" w:color="auto" w:fill="FFFFFF"/>
        <w:ind w:firstLine="709"/>
        <w:jc w:val="both"/>
      </w:pPr>
      <w:r>
        <w:t>8.1.6. 15 dienų nuo paskutinio užregistruoto juodligės atvejo;</w:t>
      </w:r>
    </w:p>
    <w:p w:rsidR="00BE0861" w:rsidRDefault="00817237">
      <w:pPr>
        <w:widowControl w:val="0"/>
        <w:shd w:val="clear" w:color="auto" w:fill="FFFFFF"/>
        <w:ind w:firstLine="709"/>
        <w:jc w:val="both"/>
      </w:pPr>
      <w:r>
        <w:t>8.2. jei laikymo vietoje buvo paskersti visi ligai imlių rūšių gyvūnai, o patalpos išdezinfekuotos, draudimas taikomas 30 dienų nuo gyvūnų sunaikinimo ir patalpų išdezinfekavimo dienos, išskyrus juodligės atvejus, kai draudimo trukmė – 15 dienų; VMVT lenktynėms gali taikyti išimtis, apie kurias turi pranešti Europos Komisijai.</w:t>
      </w:r>
    </w:p>
    <w:p w:rsidR="00BE0861" w:rsidRDefault="00817237">
      <w:pPr>
        <w:widowControl w:val="0"/>
        <w:shd w:val="clear" w:color="auto" w:fill="FFFFFF"/>
        <w:ind w:firstLine="709"/>
        <w:jc w:val="both"/>
      </w:pPr>
      <w:r>
        <w:t>9. VMVT, parengusi arklinių ligų kontrolės programą, gali ją pateikti Europos Komisijai, nurodydama:</w:t>
      </w:r>
    </w:p>
    <w:p w:rsidR="00BE0861" w:rsidRDefault="00817237">
      <w:pPr>
        <w:widowControl w:val="0"/>
        <w:shd w:val="clear" w:color="auto" w:fill="FFFFFF"/>
        <w:ind w:firstLine="709"/>
        <w:jc w:val="both"/>
      </w:pPr>
      <w:r>
        <w:t>9.1. ligos paplitimą šalies teritorijoje;</w:t>
      </w:r>
    </w:p>
    <w:p w:rsidR="00BE0861" w:rsidRDefault="00817237">
      <w:pPr>
        <w:widowControl w:val="0"/>
        <w:shd w:val="clear" w:color="auto" w:fill="FFFFFF"/>
        <w:ind w:firstLine="709"/>
        <w:jc w:val="both"/>
      </w:pPr>
      <w:r>
        <w:t>9.2. programos rengimo priežastis ir ekonominę naudą;</w:t>
      </w:r>
    </w:p>
    <w:p w:rsidR="00BE0861" w:rsidRDefault="00817237">
      <w:pPr>
        <w:widowControl w:val="0"/>
        <w:shd w:val="clear" w:color="auto" w:fill="FFFFFF"/>
        <w:ind w:firstLine="709"/>
        <w:jc w:val="both"/>
      </w:pPr>
      <w:r>
        <w:t>9.3. geografinę teritoriją, kurioje bus įgyvendinama programa;</w:t>
      </w:r>
    </w:p>
    <w:p w:rsidR="00BE0861" w:rsidRDefault="00817237">
      <w:pPr>
        <w:widowControl w:val="0"/>
        <w:shd w:val="clear" w:color="auto" w:fill="FFFFFF"/>
        <w:ind w:firstLine="709"/>
        <w:jc w:val="both"/>
      </w:pPr>
      <w:r>
        <w:t>9.4. statuso kategorijas, kurios bus taikomos laikymo vietoms, ir arklinių tyrimo metodiką;</w:t>
      </w:r>
    </w:p>
    <w:p w:rsidR="00BE0861" w:rsidRDefault="00817237">
      <w:pPr>
        <w:widowControl w:val="0"/>
        <w:shd w:val="clear" w:color="auto" w:fill="FFFFFF"/>
        <w:ind w:firstLine="709"/>
        <w:jc w:val="both"/>
      </w:pPr>
      <w:r>
        <w:t>9.5. programos vykdymo kontrolės tvarką;</w:t>
      </w:r>
    </w:p>
    <w:p w:rsidR="00BE0861" w:rsidRDefault="00817237">
      <w:pPr>
        <w:widowControl w:val="0"/>
        <w:shd w:val="clear" w:color="auto" w:fill="FFFFFF"/>
        <w:ind w:firstLine="709"/>
        <w:jc w:val="both"/>
      </w:pPr>
      <w:r>
        <w:t>9.6. priemones, kurios bus taikomos laikymo vietai praradus ligos neužkrėsto subjekto statusą;</w:t>
      </w:r>
    </w:p>
    <w:p w:rsidR="00BE0861" w:rsidRDefault="00817237">
      <w:pPr>
        <w:widowControl w:val="0"/>
        <w:shd w:val="clear" w:color="auto" w:fill="FFFFFF"/>
        <w:ind w:firstLine="709"/>
        <w:jc w:val="both"/>
      </w:pPr>
      <w:r>
        <w:lastRenderedPageBreak/>
        <w:t>9.7. priemones, kurios bus taikomos gavus teigiamus tyrimų rezultatus;</w:t>
      </w:r>
    </w:p>
    <w:p w:rsidR="00BE0861" w:rsidRDefault="00817237">
      <w:pPr>
        <w:widowControl w:val="0"/>
        <w:shd w:val="clear" w:color="auto" w:fill="FFFFFF"/>
        <w:ind w:firstLine="709"/>
        <w:jc w:val="both"/>
      </w:pPr>
      <w:r>
        <w:t>9.8. priemones arklinių prekybos suvaržymui šalyje mažinti.</w:t>
      </w:r>
    </w:p>
    <w:p w:rsidR="00BE0861" w:rsidRDefault="00817237">
      <w:pPr>
        <w:widowControl w:val="0"/>
        <w:shd w:val="clear" w:color="auto" w:fill="FFFFFF"/>
        <w:ind w:firstLine="709"/>
        <w:jc w:val="both"/>
      </w:pPr>
      <w:r>
        <w:t>Europos Komisija patikrina pateiktas programas. Gali būti nustatomi ir patvirtinami papildomi reikalavimai, kurie taikomi prekybai arkliniais. Pateiktos ligų kontrolės programos gali būti keičiamos ar papildomos.</w:t>
      </w:r>
    </w:p>
    <w:p w:rsidR="00BE0861" w:rsidRDefault="00817237">
      <w:pPr>
        <w:widowControl w:val="0"/>
        <w:shd w:val="clear" w:color="auto" w:fill="FFFFFF"/>
        <w:ind w:firstLine="709"/>
        <w:jc w:val="both"/>
      </w:pPr>
      <w:r>
        <w:t>10. Jeigu Lietuvos Respublika laikoma užkrėsta afrikine arklių liga, VMVT gali leisti vežti arklinius iš tos teritorijos dalies, kuri laikoma užkrėsta šia liga, kaip nurodyta 11–14 punktuose, 15 punkte nurodytomis sąlygomis.</w:t>
      </w:r>
    </w:p>
    <w:p w:rsidR="00BE0861" w:rsidRDefault="00817237">
      <w:pPr>
        <w:widowControl w:val="0"/>
        <w:shd w:val="clear" w:color="auto" w:fill="FFFFFF"/>
        <w:ind w:firstLine="709"/>
        <w:jc w:val="both"/>
      </w:pPr>
      <w:r>
        <w:t>11. Lietuvos Respublikos teritorijos dalis laikoma užkrėsta afrikine arklių liga, jei:</w:t>
      </w:r>
    </w:p>
    <w:p w:rsidR="00BE0861" w:rsidRDefault="00817237">
      <w:pPr>
        <w:widowControl w:val="0"/>
        <w:shd w:val="clear" w:color="auto" w:fill="FFFFFF"/>
        <w:ind w:firstLine="709"/>
        <w:jc w:val="both"/>
      </w:pPr>
      <w:r>
        <w:t>11.1. afrikinė arklių liga paskutinius dvejus metus nustatyta pagal klinikinius, serologinius (kai arkliniai nevakcinuoti) ir/arba kitus duomenis;</w:t>
      </w:r>
    </w:p>
    <w:p w:rsidR="00BE0861" w:rsidRDefault="00817237">
      <w:pPr>
        <w:widowControl w:val="0"/>
        <w:shd w:val="clear" w:color="auto" w:fill="FFFFFF"/>
        <w:ind w:firstLine="709"/>
        <w:jc w:val="both"/>
      </w:pPr>
      <w:r>
        <w:t>11.2. paskutinius 12 mėnesių arkliniai buvo vakcinuojami nuo afrikinės arklių ligos.</w:t>
      </w:r>
    </w:p>
    <w:p w:rsidR="00BE0861" w:rsidRDefault="00817237">
      <w:pPr>
        <w:widowControl w:val="0"/>
        <w:shd w:val="clear" w:color="auto" w:fill="FFFFFF"/>
        <w:ind w:firstLine="709"/>
        <w:jc w:val="both"/>
      </w:pPr>
      <w:r>
        <w:t>12. Teritorijos dalyje, kuri laikoma užkrėsta afrikine arklių liga, turi būti nustatyta:</w:t>
      </w:r>
    </w:p>
    <w:p w:rsidR="00BE0861" w:rsidRDefault="00817237">
      <w:pPr>
        <w:widowControl w:val="0"/>
        <w:shd w:val="clear" w:color="auto" w:fill="FFFFFF"/>
        <w:ind w:firstLine="709"/>
        <w:jc w:val="both"/>
      </w:pPr>
      <w:r>
        <w:t xml:space="preserve">12.1. apsaugos zona </w:t>
      </w:r>
      <w:smartTag w:uri="urn:schemas-microsoft-com:office:smarttags" w:element="metricconverter">
        <w:smartTagPr>
          <w:attr w:name="ProductID" w:val="100 kilometrų"/>
        </w:smartTagPr>
        <w:r>
          <w:t>100 kilometrų</w:t>
        </w:r>
      </w:smartTag>
      <w:r>
        <w:t xml:space="preserve"> spinduliu aplink ligos židinį;</w:t>
      </w:r>
    </w:p>
    <w:p w:rsidR="00BE0861" w:rsidRDefault="00817237">
      <w:pPr>
        <w:widowControl w:val="0"/>
        <w:shd w:val="clear" w:color="auto" w:fill="FFFFFF"/>
        <w:ind w:firstLine="709"/>
        <w:jc w:val="both"/>
      </w:pPr>
      <w:r>
        <w:t xml:space="preserve">12.2. stebėjimo zona, kurioje paskutinius 12 mėnesių nebuvo atliekama arklinių vakcinacija, ne mažesniu kaip </w:t>
      </w:r>
      <w:smartTag w:uri="urn:schemas-microsoft-com:office:smarttags" w:element="metricconverter">
        <w:smartTagPr>
          <w:attr w:name="ProductID" w:val="50 kilometrų"/>
        </w:smartTagPr>
        <w:r>
          <w:t>50 kilometrų</w:t>
        </w:r>
      </w:smartTag>
      <w:r>
        <w:t xml:space="preserve"> spinduliu nuo apsaugos zonos.</w:t>
      </w:r>
    </w:p>
    <w:p w:rsidR="00BE0861" w:rsidRDefault="00817237">
      <w:pPr>
        <w:widowControl w:val="0"/>
        <w:shd w:val="clear" w:color="auto" w:fill="FFFFFF"/>
        <w:ind w:firstLine="709"/>
        <w:jc w:val="both"/>
      </w:pPr>
      <w:r>
        <w:t xml:space="preserve">13. 11–12 punktuose nurodytose teritorijose ar zonose taikomos ligos kontrolės priemonės ir išimtys, nurodytos </w:t>
      </w:r>
      <w:smartTag w:uri="urn:schemas-microsoft-com:office:smarttags" w:element="metricconverter">
        <w:smartTagPr>
          <w:attr w:name="ProductID" w:val="1992 m"/>
        </w:smartTagPr>
        <w:r>
          <w:t>1992 m</w:t>
        </w:r>
      </w:smartTag>
      <w:r>
        <w:t>. balandžio 29 d. Tarybos direktyvoje 92/35/EEB, nustatančioje afrikinės arklių ligos kontrolės reikalavimus ir kovos su ja priemones.</w:t>
      </w:r>
    </w:p>
    <w:p w:rsidR="00BE0861" w:rsidRDefault="00817237">
      <w:pPr>
        <w:widowControl w:val="0"/>
        <w:shd w:val="clear" w:color="auto" w:fill="FFFFFF"/>
        <w:ind w:firstLine="709"/>
        <w:jc w:val="both"/>
      </w:pPr>
      <w:r>
        <w:t>14. Visi vakcinuoti arkliniai, esantys apsaugos zonoje, turi būti registruojami ir paženklinami VMVT nustatyta tvarka. Duomenys apie arklinių vakcinaciją turi būti nurodyti tapatybės dokumente ir/arba veterinarijos sertifikate.</w:t>
      </w:r>
    </w:p>
    <w:p w:rsidR="00BE0861" w:rsidRDefault="00817237">
      <w:pPr>
        <w:widowControl w:val="0"/>
        <w:shd w:val="clear" w:color="auto" w:fill="FFFFFF"/>
        <w:ind w:firstLine="709"/>
        <w:jc w:val="both"/>
      </w:pPr>
      <w:r>
        <w:t>15. VMVT apsaugos ir stebėjimo zonose vykdo ligos likvidavimo priemones ir kontroliuoja arklinių perkėlimą. Tik 16 punkte nustatytus reikalavimus atitinkantys arkliniai gali būti siunčiami už 12 punkte nurodytų zonų ribų.</w:t>
      </w:r>
    </w:p>
    <w:p w:rsidR="00BE0861" w:rsidRDefault="00817237">
      <w:pPr>
        <w:widowControl w:val="0"/>
        <w:shd w:val="clear" w:color="auto" w:fill="FFFFFF"/>
        <w:ind w:firstLine="709"/>
        <w:jc w:val="both"/>
      </w:pPr>
      <w:r>
        <w:t>16. VMVT gali leisti vežti iš 12 punkte nurodytų zonų arklinius, jei laikomasi šių reikalavimų:</w:t>
      </w:r>
    </w:p>
    <w:p w:rsidR="00BE0861" w:rsidRDefault="00817237">
      <w:pPr>
        <w:widowControl w:val="0"/>
        <w:shd w:val="clear" w:color="auto" w:fill="FFFFFF"/>
        <w:ind w:firstLine="709"/>
        <w:jc w:val="both"/>
      </w:pPr>
      <w:r>
        <w:t>16.1. arkliniai vežami VMVT nustatyta tvarka ir nustatytu metų laikotarpiu, atsižvelgiant į vabzdžių, pernešančių ligos sukėlėjus, aktyvumą;</w:t>
      </w:r>
    </w:p>
    <w:p w:rsidR="00BE0861" w:rsidRDefault="00817237">
      <w:pPr>
        <w:widowControl w:val="0"/>
        <w:shd w:val="clear" w:color="auto" w:fill="FFFFFF"/>
        <w:ind w:firstLine="709"/>
        <w:jc w:val="both"/>
      </w:pPr>
      <w:r>
        <w:t>16.2. atlikus klinikinį apžiūrėjimą, kaip nurodyta 4 punkte, arkliniai privalo neturėti klinikinių afrikinės arklių ligos požymių;</w:t>
      </w:r>
    </w:p>
    <w:p w:rsidR="00BE0861" w:rsidRDefault="00817237">
      <w:pPr>
        <w:ind w:firstLine="709"/>
        <w:jc w:val="both"/>
      </w:pPr>
      <w:r>
        <w:rPr>
          <w:szCs w:val="24"/>
          <w:lang w:eastAsia="lt-LT"/>
        </w:rPr>
        <w:t xml:space="preserve">16.3. jei arkliniai nebuvo vakcinuoti nuo afrikinės arklių ligos, ištyrus du kartus kas 21–30 dienų metodu, nurodytu </w:t>
      </w:r>
      <w:r>
        <w:rPr>
          <w:bCs/>
          <w:szCs w:val="24"/>
        </w:rPr>
        <w:t xml:space="preserve">2016 m. spalio 14 d. </w:t>
      </w:r>
      <w:r>
        <w:rPr>
          <w:rFonts w:cs="EUAlbertina"/>
          <w:bCs/>
          <w:color w:val="000000"/>
          <w:szCs w:val="24"/>
        </w:rPr>
        <w:t xml:space="preserve">Komisijos įgyvendinimo sprendime </w:t>
      </w:r>
      <w:r>
        <w:rPr>
          <w:bCs/>
          <w:szCs w:val="24"/>
        </w:rPr>
        <w:t>(ES) 2016/1840, kuriuo dėl afrikinės arklių ligos diagnostikos metodų iš dalies keičiamas Tarybos direktyvos 2009/156/EB IV priedas</w:t>
      </w:r>
      <w:r>
        <w:rPr>
          <w:szCs w:val="24"/>
        </w:rPr>
        <w:t xml:space="preserve"> (OL 2016 L 280, p. 33)</w:t>
      </w:r>
      <w:r>
        <w:rPr>
          <w:szCs w:val="24"/>
          <w:lang w:eastAsia="lt-LT"/>
        </w:rPr>
        <w:t>, gauti neigiami tyrimų rezultatai; antrasis arklinių tyrimas turi būti atliekamas likus ne daugiau kaip 10 dienų iki arklinių vežimo;</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B1-897</w:t>
        </w:r>
      </w:hyperlink>
      <w:r>
        <w:rPr>
          <w:rFonts w:eastAsia="MS Mincho"/>
          <w:i/>
          <w:iCs/>
          <w:sz w:val="20"/>
        </w:rPr>
        <w:t>, 2016-11-25, paskelbta TAR 2016-11-25, i. k. 2016-27510</w:t>
      </w:r>
    </w:p>
    <w:p w:rsidR="00BE0861" w:rsidRDefault="00BE0861"/>
    <w:p w:rsidR="00BE0861" w:rsidRDefault="00817237">
      <w:pPr>
        <w:ind w:firstLine="709"/>
        <w:jc w:val="both"/>
      </w:pPr>
      <w:r>
        <w:rPr>
          <w:szCs w:val="24"/>
          <w:lang w:eastAsia="lt-LT"/>
        </w:rPr>
        <w:t xml:space="preserve">16.4. arkliniai buvo vakcinuoti, bet ne paskutinius du mėnesius, ir, ištyrus du kartus kas 21–30 dienų metodu, nurodytu sprendime </w:t>
      </w:r>
      <w:r>
        <w:rPr>
          <w:bCs/>
          <w:szCs w:val="24"/>
        </w:rPr>
        <w:t>(ES) 2016/1840</w:t>
      </w:r>
      <w:r>
        <w:rPr>
          <w:szCs w:val="24"/>
          <w:lang w:eastAsia="lt-LT"/>
        </w:rPr>
        <w:t>, jiems nenustatytas antikūnų skaičiaus padidėjimas; antrasis arklinių tyrimas turi būti atliekamas likus ne daugiau kaip 10 dienų iki arklinių vežimo; Europos Komisija, remdamasi Mokslinio veterinarijos komiteto duomenimis, gali pripažinti kitus stebėsenos metodus;</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B1-897</w:t>
        </w:r>
      </w:hyperlink>
      <w:r>
        <w:rPr>
          <w:rFonts w:eastAsia="MS Mincho"/>
          <w:i/>
          <w:iCs/>
          <w:sz w:val="20"/>
        </w:rPr>
        <w:t>, 2016-11-25, paskelbta TAR 2016-11-25, i. k. 2016-27510</w:t>
      </w:r>
    </w:p>
    <w:p w:rsidR="00BE0861" w:rsidRDefault="00BE0861"/>
    <w:p w:rsidR="00BE0861" w:rsidRDefault="00817237">
      <w:pPr>
        <w:widowControl w:val="0"/>
        <w:shd w:val="clear" w:color="auto" w:fill="FFFFFF"/>
        <w:ind w:firstLine="709"/>
        <w:jc w:val="both"/>
      </w:pPr>
      <w:r>
        <w:t xml:space="preserve">16.5. prieš vežimą arkliniai </w:t>
      </w:r>
      <w:proofErr w:type="spellStart"/>
      <w:r>
        <w:t>karantinuojami</w:t>
      </w:r>
      <w:proofErr w:type="spellEnd"/>
      <w:r>
        <w:t xml:space="preserve"> ne mažiau kaip 40 dienų;</w:t>
      </w:r>
    </w:p>
    <w:p w:rsidR="00BE0861" w:rsidRDefault="00817237">
      <w:pPr>
        <w:widowControl w:val="0"/>
        <w:shd w:val="clear" w:color="auto" w:fill="FFFFFF"/>
        <w:ind w:firstLine="709"/>
        <w:jc w:val="both"/>
      </w:pPr>
      <w:r>
        <w:t xml:space="preserve">16.6. </w:t>
      </w:r>
      <w:proofErr w:type="spellStart"/>
      <w:r>
        <w:t>karantinuojami</w:t>
      </w:r>
      <w:proofErr w:type="spellEnd"/>
      <w:r>
        <w:t xml:space="preserve"> ir vežami iš karantino punkto į išsiuntimo vietą arkliniai turi būti apsaugoti nuo vabzdžių, pernešančių ligos sukėlėjus.</w:t>
      </w:r>
    </w:p>
    <w:p w:rsidR="00BE0861" w:rsidRDefault="00817237">
      <w:pPr>
        <w:widowControl w:val="0"/>
        <w:suppressAutoHyphens/>
        <w:ind w:firstLine="709"/>
        <w:jc w:val="both"/>
      </w:pPr>
      <w:r>
        <w:rPr>
          <w:color w:val="000000"/>
        </w:rPr>
        <w:t xml:space="preserve">17. Arkliniai turi būti kuo skubiau vežami iš laikymo vietos į paskirties vietą tiesiogiai arba per patvirtintus surinkimo centrus, kaip apibrėžta Prekybos galvijais ir kiaulėmis veterinarijos </w:t>
      </w:r>
      <w:r>
        <w:rPr>
          <w:color w:val="000000"/>
        </w:rPr>
        <w:lastRenderedPageBreak/>
        <w:t xml:space="preserve">reikalavimuose, patvirtintuose Valstybinės maisto ir veterinarijos tarnybos direktoriaus 2004 m. balandžio 20 d. įsakymu Nr. B1-349 (Žin., 2004, Nr. </w:t>
      </w:r>
      <w:hyperlink r:id="rId25" w:tgtFrame="_blank" w:history="1">
        <w:r>
          <w:rPr>
            <w:color w:val="0000FF" w:themeColor="hyperlink"/>
            <w:u w:val="single"/>
          </w:rPr>
          <w:t>135-4916</w:t>
        </w:r>
      </w:hyperlink>
      <w:r>
        <w:rPr>
          <w:color w:val="000000"/>
        </w:rPr>
        <w:t>), ir patvirtintus turgus transporto priemonėmis ar konteineriuose, kurie po gyvūnų iškrovimo yra išvalomi ir išdezinfekuojami patvirtintomis dezinfekcinėmis medžiagomis. Vežant arklinius privaloma užtikrinti, kad mėšlas, pakratai ar pašaras nepatektų į aplinką. Arkliniai turi būti vežami užtikrinant jų sveikatą ir gerovę.</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B1-351</w:t>
        </w:r>
      </w:hyperlink>
      <w:r>
        <w:rPr>
          <w:rFonts w:eastAsia="MS Mincho"/>
          <w:i/>
          <w:iCs/>
          <w:sz w:val="20"/>
        </w:rPr>
        <w:t>, 2009-08-06, Žin., 2009, Nr. 106-4466 (2009-09-05), i. k. 109110MISAK00B1-351</w:t>
      </w:r>
    </w:p>
    <w:p w:rsidR="00BE0861" w:rsidRDefault="00BE0861"/>
    <w:p w:rsidR="00BE0861" w:rsidRDefault="00817237">
      <w:pPr>
        <w:widowControl w:val="0"/>
        <w:shd w:val="clear" w:color="auto" w:fill="FFFFFF"/>
        <w:ind w:firstLine="709"/>
        <w:jc w:val="both"/>
      </w:pPr>
      <w:r>
        <w:t>18. VMVT išimties tvarka, pažymint tai veterinarijos sertifikate, gali leisti vežti arklinius, kurie neatitinka 8 punkto reikalavimų, skersti, jeigu arkliniai pažymėti ženklu, pagal kurį galima juos atsekti. Skersti skirti arkliniai turi būti vežami tiesiai į VMVT nurodytą skerdyklą ir paskersti per penkias dienas nuo atvežimo į ją.</w:t>
      </w:r>
    </w:p>
    <w:p w:rsidR="00BE0861" w:rsidRDefault="00817237">
      <w:pPr>
        <w:widowControl w:val="0"/>
        <w:shd w:val="clear" w:color="auto" w:fill="FFFFFF"/>
        <w:ind w:firstLine="709"/>
        <w:jc w:val="both"/>
      </w:pPr>
      <w:r>
        <w:t>19. Skerdyklos prižiūrintysis valstybinis veterinarijos gydytojas turi užregistruoti skerdžiamo arklinio ženklinimo numerį arba tapatybės dokumento numerį ir pranešti kompetentingai institucijai, leidusiai išvežti arklinį, kad arklinis paskerstas.</w:t>
      </w:r>
    </w:p>
    <w:p w:rsidR="00BE0861" w:rsidRPr="006A11D0" w:rsidRDefault="00817237">
      <w:pPr>
        <w:widowControl w:val="0"/>
        <w:shd w:val="clear" w:color="auto" w:fill="FFFFFF"/>
        <w:ind w:firstLine="709"/>
        <w:jc w:val="both"/>
        <w:rPr>
          <w:highlight w:val="yellow"/>
        </w:rPr>
      </w:pPr>
      <w:r w:rsidRPr="006A11D0">
        <w:rPr>
          <w:highlight w:val="yellow"/>
        </w:rPr>
        <w:t>20. VMVT užtikrina, kad:</w:t>
      </w:r>
    </w:p>
    <w:p w:rsidR="00BE0861" w:rsidRDefault="00817237">
      <w:pPr>
        <w:widowControl w:val="0"/>
        <w:suppressAutoHyphens/>
        <w:ind w:firstLine="709"/>
        <w:jc w:val="both"/>
      </w:pPr>
      <w:r w:rsidRPr="006A11D0">
        <w:rPr>
          <w:color w:val="000000"/>
          <w:highlight w:val="yellow"/>
        </w:rPr>
        <w:t>20.1. vežamus registruotus arklinius lydėtų tapatybės dokumentas, kaip nurodyta 7</w:t>
      </w:r>
      <w:r w:rsidRPr="006A11D0">
        <w:rPr>
          <w:i/>
          <w:color w:val="000000"/>
          <w:highlight w:val="yellow"/>
        </w:rPr>
        <w:t xml:space="preserve"> </w:t>
      </w:r>
      <w:r w:rsidRPr="006A11D0">
        <w:rPr>
          <w:color w:val="000000"/>
          <w:highlight w:val="yellow"/>
        </w:rPr>
        <w:t>punkte, ir, jei jie yra skirti prekybai, sveikatos pažyma (2</w:t>
      </w:r>
      <w:r w:rsidRPr="006A11D0">
        <w:rPr>
          <w:i/>
          <w:color w:val="000000"/>
          <w:highlight w:val="yellow"/>
        </w:rPr>
        <w:t xml:space="preserve"> </w:t>
      </w:r>
      <w:r w:rsidRPr="006A11D0">
        <w:rPr>
          <w:color w:val="000000"/>
          <w:highlight w:val="yellow"/>
        </w:rPr>
        <w:t>priedas);</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B1-342</w:t>
        </w:r>
      </w:hyperlink>
      <w:r>
        <w:rPr>
          <w:rFonts w:eastAsia="MS Mincho"/>
          <w:i/>
          <w:iCs/>
          <w:sz w:val="20"/>
        </w:rPr>
        <w:t>, 2010-09-20, Žin., 2010, Nr. 113-5816 (2010-09-25), i. k. 110110MISAK00B1-342</w:t>
      </w:r>
    </w:p>
    <w:p w:rsidR="00BE0861" w:rsidRDefault="00BE0861"/>
    <w:p w:rsidR="00BE0861" w:rsidRDefault="00817237">
      <w:pPr>
        <w:widowControl w:val="0"/>
        <w:shd w:val="clear" w:color="auto" w:fill="FFFFFF"/>
        <w:ind w:firstLine="709"/>
        <w:jc w:val="both"/>
      </w:pPr>
      <w:r>
        <w:t>20.2. vežamus į ES veislinius, produkcijos ir skersti skirtus arklinius lydėtų veterinarijos sertifikatas (3 priedas);</w:t>
      </w:r>
    </w:p>
    <w:p w:rsidR="00BE0861" w:rsidRDefault="00817237">
      <w:pPr>
        <w:widowControl w:val="0"/>
        <w:suppressAutoHyphens/>
        <w:ind w:firstLine="709"/>
        <w:jc w:val="both"/>
      </w:pPr>
      <w:r>
        <w:rPr>
          <w:color w:val="000000"/>
        </w:rPr>
        <w:t xml:space="preserve">20.3. veterinarijos sertifikatas arba </w:t>
      </w:r>
      <w:r w:rsidRPr="006A11D0">
        <w:rPr>
          <w:color w:val="000000"/>
          <w:highlight w:val="yellow"/>
        </w:rPr>
        <w:t>sveikatos pažyma registruotiems arkliniams turi būti išduoti likus ne daugiau kaip 48</w:t>
      </w:r>
      <w:r w:rsidRPr="006A11D0">
        <w:rPr>
          <w:i/>
          <w:color w:val="000000"/>
          <w:highlight w:val="yellow"/>
        </w:rPr>
        <w:t xml:space="preserve"> </w:t>
      </w:r>
      <w:r w:rsidRPr="006A11D0">
        <w:rPr>
          <w:color w:val="000000"/>
          <w:highlight w:val="yellow"/>
        </w:rPr>
        <w:t>valandoms iki arklinių pakrovimo arba kitais atvejais ne anksčiau kaip paskutinę darbo dieną prieš arklinių pakrovimą ir surašytas šalies siuntėjos ir paskirties šalių kalbomis</w:t>
      </w:r>
      <w:r>
        <w:rPr>
          <w:color w:val="000000"/>
        </w:rPr>
        <w:t xml:space="preserve">. Veterinarijos sertifikatas arba </w:t>
      </w:r>
      <w:r w:rsidRPr="006A11D0">
        <w:rPr>
          <w:color w:val="000000"/>
          <w:highlight w:val="yellow"/>
        </w:rPr>
        <w:t>sveikatos pažyma galioja 10</w:t>
      </w:r>
      <w:r w:rsidRPr="006A11D0">
        <w:rPr>
          <w:i/>
          <w:color w:val="000000"/>
          <w:highlight w:val="yellow"/>
        </w:rPr>
        <w:t xml:space="preserve"> </w:t>
      </w:r>
      <w:r w:rsidRPr="006A11D0">
        <w:rPr>
          <w:color w:val="000000"/>
          <w:highlight w:val="yellow"/>
        </w:rPr>
        <w:t>dienų.</w:t>
      </w:r>
      <w:r>
        <w:rPr>
          <w:color w:val="000000"/>
        </w:rPr>
        <w:t xml:space="preserve"> Veterinarijos sertifikatas </w:t>
      </w:r>
      <w:r w:rsidRPr="006A11D0">
        <w:rPr>
          <w:color w:val="000000"/>
          <w:highlight w:val="yellow"/>
        </w:rPr>
        <w:t>arba sveikatos pažyma turi būti surašyti viename lape</w:t>
      </w:r>
      <w:r>
        <w:rPr>
          <w:color w:val="000000"/>
        </w:rPr>
        <w:t>. Neregistruotų arklinių siuntai gali būti išduodamas vienas veterinarijos sertifikatas.</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B1-342</w:t>
        </w:r>
      </w:hyperlink>
      <w:r>
        <w:rPr>
          <w:rFonts w:eastAsia="MS Mincho"/>
          <w:i/>
          <w:iCs/>
          <w:sz w:val="20"/>
        </w:rPr>
        <w:t>, 2010-09-20, Žin., 2010, Nr. 113-5816 (2010-09-25), i. k. 110110MISAK00B1-342</w:t>
      </w:r>
    </w:p>
    <w:p w:rsidR="00BE0861" w:rsidRDefault="00BE0861"/>
    <w:p w:rsidR="00BE0861" w:rsidRDefault="00817237">
      <w:pPr>
        <w:ind w:firstLine="709"/>
        <w:jc w:val="both"/>
      </w:pPr>
      <w:r>
        <w:rPr>
          <w:color w:val="000000"/>
          <w:szCs w:val="24"/>
          <w:lang w:eastAsia="lt-LT"/>
        </w:rPr>
        <w:t>21. Arklių siuntos tikrinamos arklių kilmės ir paskirties vietose ir joms papildomos apsaugos priemonės taikomos vadovaujantis 2017 m. kovo 15 d. Europos Parlamento ir Tarybos reglamentu (ES) 2017/625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(EB) Nr. 999/2001, (EB) Nr. 396/2005, (EB) Nr. 1069/2009, (EB) Nr. 1107/2009, (ES) Nr. 1151/2012, (ES) Nr. 652/2014, (ES) 2016/429 ir (ES) 2016/2031, Tarybos reglamentai (EB) Nr. 1/2005 ir (EB) Nr. 1099/2009 bei Tarybos direktyvos 98/58/EB, 1999/74/EB, 2007/43/EB, 2008/119/EB ir 2008/120/EB, ir kuriuo panaikinami Europos Parlamento ir Tarybos reglamentai (EB) Nr. 854/2004 ir (EB) Nr. 882/2004, Tarybos direktyvos 89/608/EEB, 89/662/EEB, 90/425/EEB, 91/496/EEB, 96/23/EB, 96/93/EB ir 97/78/EB bei Tarybos sprendimas 92/438/EEB (OL 2017 L 95, p.</w:t>
      </w:r>
      <w:r>
        <w:rPr>
          <w:i/>
          <w:iCs/>
          <w:color w:val="000000"/>
          <w:szCs w:val="24"/>
          <w:lang w:eastAsia="lt-LT"/>
        </w:rPr>
        <w:t xml:space="preserve"> </w:t>
      </w:r>
      <w:r>
        <w:rPr>
          <w:color w:val="000000"/>
          <w:szCs w:val="24"/>
          <w:lang w:eastAsia="lt-LT"/>
        </w:rPr>
        <w:t>1), ir jį įgyvendinamaisiais teisės aktais.</w:t>
      </w:r>
      <w:r>
        <w:t xml:space="preserve"> </w:t>
      </w:r>
    </w:p>
    <w:p w:rsidR="00BE0861" w:rsidRDefault="00817237">
      <w:pPr>
        <w:rPr>
          <w:rFonts w:eastAsia="MS Mincho"/>
          <w:i/>
          <w:iCs/>
          <w:sz w:val="20"/>
        </w:rPr>
      </w:pPr>
      <w:r>
        <w:rPr>
          <w:rFonts w:eastAsia="MS Mincho"/>
          <w:i/>
          <w:iCs/>
          <w:sz w:val="20"/>
        </w:rPr>
        <w:t>Punkto pakeitimai:</w:t>
      </w:r>
    </w:p>
    <w:p w:rsidR="00BE0861" w:rsidRDefault="00817237">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B1-351</w:t>
        </w:r>
      </w:hyperlink>
      <w:r>
        <w:rPr>
          <w:rFonts w:eastAsia="MS Mincho"/>
          <w:i/>
          <w:iCs/>
          <w:sz w:val="20"/>
        </w:rPr>
        <w:t>, 2019-05-21, paskelbta TAR 2019-05-21, i. k. 2019-08051</w:t>
      </w:r>
    </w:p>
    <w:p w:rsidR="00BE0861" w:rsidRDefault="00BE0861"/>
    <w:p w:rsidR="00BE0861" w:rsidRDefault="00817237">
      <w:pPr>
        <w:widowControl w:val="0"/>
        <w:shd w:val="clear" w:color="auto" w:fill="FFFFFF"/>
        <w:ind w:firstLine="709"/>
        <w:jc w:val="both"/>
      </w:pPr>
      <w:r>
        <w:t>22. Europos Komisijos veterinarijos ekspertai, siekdami užtikrinti šių Reikalavimų taikymą ir bendradarbiaudami su VMVT, gali atlikti tikrinimus Lietuvos Respublikoje. VMVT suteikia veterinarijos ekspertams visą jų darbui atlikti reikalingą pagalbą. Europos Komisija informuoja VMVT apie tokių tikrinimų rezultatus.</w:t>
      </w:r>
    </w:p>
    <w:p w:rsidR="00BE0861" w:rsidRDefault="00BE0861">
      <w:pPr>
        <w:widowControl w:val="0"/>
        <w:shd w:val="clear" w:color="auto" w:fill="FFFFFF"/>
        <w:ind w:firstLine="709"/>
        <w:jc w:val="both"/>
        <w:rPr>
          <w:b/>
          <w:bCs/>
        </w:rPr>
      </w:pPr>
    </w:p>
    <w:p w:rsidR="00BE0861" w:rsidRDefault="00817237">
      <w:pPr>
        <w:widowControl w:val="0"/>
        <w:shd w:val="clear" w:color="auto" w:fill="FFFFFF"/>
        <w:jc w:val="center"/>
      </w:pPr>
      <w:r>
        <w:rPr>
          <w:b/>
          <w:bCs/>
        </w:rPr>
        <w:lastRenderedPageBreak/>
        <w:t>III. ARKLINIŲ IMPORTO REIKALAVIMAI</w:t>
      </w:r>
    </w:p>
    <w:p w:rsidR="00BE0861" w:rsidRDefault="00BE0861">
      <w:pPr>
        <w:ind w:firstLine="709"/>
        <w:jc w:val="both"/>
      </w:pPr>
    </w:p>
    <w:p w:rsidR="00BE0861" w:rsidRDefault="00817237">
      <w:pPr>
        <w:widowControl w:val="0"/>
        <w:shd w:val="clear" w:color="auto" w:fill="FFFFFF"/>
        <w:ind w:firstLine="709"/>
        <w:jc w:val="both"/>
      </w:pPr>
      <w:r>
        <w:t>23. Importuojant arklinius turi būti laikomasi 25-29 punktuose nustatytų reikalavimų.</w:t>
      </w:r>
    </w:p>
    <w:p w:rsidR="00BE0861" w:rsidRDefault="00817237">
      <w:pPr>
        <w:widowControl w:val="0"/>
        <w:shd w:val="clear" w:color="auto" w:fill="FFFFFF"/>
        <w:ind w:firstLine="709"/>
        <w:jc w:val="both"/>
      </w:pPr>
      <w:r>
        <w:t xml:space="preserve">24. Leidžiama importuoti arklinius iš patvirtintų trečiųjų šalių, kurių sąrašą sudaro Europos Komisija. Atsižvelgiant į trečiosios šalies gyvūnų sveikatos situaciją ir pateikiamas garantijas, patvirtinimas gali būti taikomas visai trečiosios šalies teritorijai arba jos daliai. Patikrinimas atliekamas remiantis tarptautiniais standartais, atsižvelgus į tai, kaip trečioji šalis taiko ir įgyvendina tuos standartus, ypač </w:t>
      </w:r>
      <w:proofErr w:type="spellStart"/>
      <w:r>
        <w:t>regionizacijos</w:t>
      </w:r>
      <w:proofErr w:type="spellEnd"/>
      <w:r>
        <w:t xml:space="preserve"> principus ir veterinarijos reikalavimus arklinių importui iš kitų trečiųjų šalių ir iš Europos Sąjungos.</w:t>
      </w:r>
    </w:p>
    <w:p w:rsidR="00BE0861" w:rsidRDefault="00817237">
      <w:pPr>
        <w:widowControl w:val="0"/>
        <w:shd w:val="clear" w:color="auto" w:fill="FFFFFF"/>
        <w:ind w:firstLine="709"/>
        <w:jc w:val="both"/>
      </w:pPr>
      <w:r>
        <w:t>25. Sudarant ar keičiant patvirtintų trečiųjų šalių sąrašus, atsižvelgiama į:</w:t>
      </w:r>
    </w:p>
    <w:p w:rsidR="00BE0861" w:rsidRDefault="00817237">
      <w:pPr>
        <w:widowControl w:val="0"/>
        <w:shd w:val="clear" w:color="auto" w:fill="FFFFFF"/>
        <w:ind w:firstLine="709"/>
        <w:jc w:val="both"/>
      </w:pPr>
      <w:r>
        <w:t>25.1. trečiosios šalies arklinių, kitų naminių ir laukinių gyvūnų sveikatos būklę, egzotines ligas, bendrą ligų ir aplinkos situaciją, kuri gali pakenkti ES ligų ar aplinkos situacijai;</w:t>
      </w:r>
    </w:p>
    <w:p w:rsidR="00BE0861" w:rsidRDefault="00817237">
      <w:pPr>
        <w:widowControl w:val="0"/>
        <w:shd w:val="clear" w:color="auto" w:fill="FFFFFF"/>
        <w:ind w:firstLine="709"/>
        <w:jc w:val="both"/>
      </w:pPr>
      <w:r>
        <w:t>25.2. trečiosios šalies teisės aktus, reglamentuojančius gyvūnų sveikatą ir gerovę;</w:t>
      </w:r>
    </w:p>
    <w:p w:rsidR="00BE0861" w:rsidRDefault="00817237">
      <w:pPr>
        <w:widowControl w:val="0"/>
        <w:shd w:val="clear" w:color="auto" w:fill="FFFFFF"/>
        <w:ind w:firstLine="709"/>
        <w:jc w:val="both"/>
      </w:pPr>
      <w:r>
        <w:t>25.3. kompetentingos veterinarijos tarnybos ir jos tarnybų struktūrą, galias, jų priežiūrą, turimas priemones, įskaitant darbuotojus ir laboratorijas, skirtas nacionalinių teisės aktų įgyvendinimui;</w:t>
      </w:r>
    </w:p>
    <w:p w:rsidR="00BE0861" w:rsidRDefault="00817237">
      <w:pPr>
        <w:widowControl w:val="0"/>
        <w:shd w:val="clear" w:color="auto" w:fill="FFFFFF"/>
        <w:ind w:firstLine="709"/>
        <w:jc w:val="both"/>
      </w:pPr>
      <w:r>
        <w:t>25.4. trečiosios šalies kompetentingos veterinarijos tarnybos teikiamas garantijas dėl atitikimo ES taikomas gyvūnų sveikatos sąlygas;</w:t>
      </w:r>
    </w:p>
    <w:p w:rsidR="00BE0861" w:rsidRDefault="00817237">
      <w:pPr>
        <w:widowControl w:val="0"/>
        <w:shd w:val="clear" w:color="auto" w:fill="FFFFFF"/>
        <w:ind w:firstLine="709"/>
        <w:jc w:val="both"/>
      </w:pPr>
      <w:r>
        <w:t>25.5. ar trečioji šalis yra TEB narė ir ar reguliariai ir greitai teikia informaciją apie užkrečiamųjų arklinių ligų pasireiškimą jos teritorijoje, ypač apie TEB ir 1 priede nurodytas ligas;</w:t>
      </w:r>
    </w:p>
    <w:p w:rsidR="00BE0861" w:rsidRDefault="00817237">
      <w:pPr>
        <w:widowControl w:val="0"/>
        <w:shd w:val="clear" w:color="auto" w:fill="FFFFFF"/>
        <w:ind w:firstLine="709"/>
        <w:jc w:val="both"/>
      </w:pPr>
      <w:r>
        <w:t>25.6. garantiją, kad trečioji šalis tiesiogiai informuos Europos Komisiją ir ES šalis:</w:t>
      </w:r>
    </w:p>
    <w:p w:rsidR="00BE0861" w:rsidRDefault="00817237">
      <w:pPr>
        <w:widowControl w:val="0"/>
        <w:shd w:val="clear" w:color="auto" w:fill="FFFFFF"/>
        <w:ind w:firstLine="709"/>
        <w:jc w:val="both"/>
      </w:pPr>
      <w:r>
        <w:t>25.6.1. per 24 valandas, patvirtinus užkrečiamosios arklinių ligos, nurodytos 1 priede, pasireiškimą ir bet kokį vakcinavimo nuo 1 priede išvardintų ligų pasikeitimą,</w:t>
      </w:r>
    </w:p>
    <w:p w:rsidR="00BE0861" w:rsidRDefault="00817237">
      <w:pPr>
        <w:widowControl w:val="0"/>
        <w:shd w:val="clear" w:color="auto" w:fill="FFFFFF"/>
        <w:ind w:firstLine="709"/>
        <w:jc w:val="both"/>
      </w:pPr>
      <w:r>
        <w:t>25.6.2. per atitinkamą laikotarpį apie siūlomus nacionalinių veterinarijos reikalavimų arkliniams pakeitimus, ypač dėl arklinių importo sąlygų,</w:t>
      </w:r>
    </w:p>
    <w:p w:rsidR="00BE0861" w:rsidRDefault="00817237">
      <w:pPr>
        <w:widowControl w:val="0"/>
        <w:shd w:val="clear" w:color="auto" w:fill="FFFFFF"/>
        <w:ind w:firstLine="709"/>
        <w:jc w:val="both"/>
      </w:pPr>
      <w:r>
        <w:t>25.6.3. reguliariai apie arklinių sveikatos būklę jos teritorijoje;</w:t>
      </w:r>
    </w:p>
    <w:p w:rsidR="00BE0861" w:rsidRDefault="00817237">
      <w:pPr>
        <w:widowControl w:val="0"/>
        <w:shd w:val="clear" w:color="auto" w:fill="FFFFFF"/>
        <w:ind w:firstLine="709"/>
        <w:jc w:val="both"/>
      </w:pPr>
      <w:r>
        <w:t>25.7. ankstesnius arklinių importo iš trečiosios šalies atvejus ir atliktų tikrinimų rezultatus;</w:t>
      </w:r>
    </w:p>
    <w:p w:rsidR="00BE0861" w:rsidRDefault="00817237">
      <w:pPr>
        <w:widowControl w:val="0"/>
        <w:shd w:val="clear" w:color="auto" w:fill="FFFFFF"/>
        <w:ind w:firstLine="709"/>
        <w:jc w:val="both"/>
      </w:pPr>
      <w:r>
        <w:t>25.8. Europos Komisijos atliktų trečiosios šalies tikrinimų ir/arba audito rezultatus, ypač kompetentingų institucijų įvertinimą, arba, jei Europos Komisija prašo, kompetentingos institucijos atliktų tikrinimų ataskaitas;</w:t>
      </w:r>
    </w:p>
    <w:p w:rsidR="00BE0861" w:rsidRDefault="00817237">
      <w:pPr>
        <w:widowControl w:val="0"/>
        <w:shd w:val="clear" w:color="auto" w:fill="FFFFFF"/>
        <w:ind w:firstLine="709"/>
        <w:jc w:val="both"/>
      </w:pPr>
      <w:r>
        <w:t>25.9. taisykles, taikomas gyvūnų užkrečiamųjų ligų kontrolei ir prevencijai trečiojoje šalyje, ir jų taikymą, įskaitant importo iš kitų trečiųjų šalių taisykles; kiekvienai trečiajai šaliai ar šalių grupei gali būti sudaromos specialios importo sąlygos, atsižvelgiant į arklinių sveikatos sąlygas.</w:t>
      </w:r>
    </w:p>
    <w:p w:rsidR="00BE0861" w:rsidRDefault="00817237">
      <w:pPr>
        <w:widowControl w:val="0"/>
        <w:shd w:val="clear" w:color="auto" w:fill="FFFFFF"/>
        <w:ind w:firstLine="709"/>
        <w:jc w:val="both"/>
      </w:pPr>
      <w:r>
        <w:t>26. Leidžiama importuoti arklinius iš trečiųjų šalių:</w:t>
      </w:r>
    </w:p>
    <w:p w:rsidR="00BE0861" w:rsidRDefault="00817237">
      <w:pPr>
        <w:widowControl w:val="0"/>
        <w:shd w:val="clear" w:color="auto" w:fill="FFFFFF"/>
        <w:ind w:firstLine="709"/>
        <w:jc w:val="both"/>
      </w:pPr>
      <w:r>
        <w:t>26.1. neužkrėstų afrikine arklių liga;</w:t>
      </w:r>
    </w:p>
    <w:p w:rsidR="00BE0861" w:rsidRDefault="00817237">
      <w:pPr>
        <w:widowControl w:val="0"/>
        <w:shd w:val="clear" w:color="auto" w:fill="FFFFFF"/>
        <w:ind w:firstLine="709"/>
        <w:jc w:val="both"/>
      </w:pPr>
      <w:r>
        <w:t xml:space="preserve">26.2. ne mažiau kaip dvejus metus neužkrėstų Venesuelos arklių </w:t>
      </w:r>
      <w:proofErr w:type="spellStart"/>
      <w:r>
        <w:t>encefalomielitu</w:t>
      </w:r>
      <w:proofErr w:type="spellEnd"/>
      <w:r>
        <w:t>;</w:t>
      </w:r>
    </w:p>
    <w:p w:rsidR="00BE0861" w:rsidRDefault="00817237">
      <w:pPr>
        <w:widowControl w:val="0"/>
        <w:shd w:val="clear" w:color="auto" w:fill="FFFFFF"/>
        <w:ind w:firstLine="709"/>
        <w:jc w:val="both"/>
      </w:pPr>
      <w:r>
        <w:t>26.3. ne mažiau kaip šešis mėnesius neužkrėstų kergimo liga ir įnosėmis.</w:t>
      </w:r>
    </w:p>
    <w:p w:rsidR="00BE0861" w:rsidRDefault="00817237">
      <w:pPr>
        <w:widowControl w:val="0"/>
        <w:shd w:val="clear" w:color="auto" w:fill="FFFFFF"/>
        <w:ind w:firstLine="709"/>
        <w:jc w:val="both"/>
      </w:pPr>
      <w:r>
        <w:t>27. Prieš pakraunant arklinius vežimui į paskirties šalį, jie turi būti nuolat laikyti trečiojoje šalyje ar jos dalyje 28 punkte nustatytą laikotarpį. Arkliniai turi būti iš laikymo vietos, kurioje atliekama valstybinė veterinarinė priežiūra.</w:t>
      </w:r>
    </w:p>
    <w:p w:rsidR="00BE0861" w:rsidRDefault="00817237">
      <w:pPr>
        <w:widowControl w:val="0"/>
        <w:shd w:val="clear" w:color="auto" w:fill="FFFFFF"/>
        <w:ind w:firstLine="709"/>
        <w:jc w:val="both"/>
      </w:pPr>
      <w:r>
        <w:t>28. Leidžiama importuoti arklinius iš trečiosios šalies ar jos teritorijos dalies, atitinkančios 26.1–26.3 punktų reikalavimus, esančios patvirtintame sąraše, jei arkliniai atitinka:</w:t>
      </w:r>
    </w:p>
    <w:p w:rsidR="00BE0861" w:rsidRDefault="00817237">
      <w:pPr>
        <w:widowControl w:val="0"/>
        <w:shd w:val="clear" w:color="auto" w:fill="FFFFFF"/>
        <w:ind w:firstLine="709"/>
        <w:jc w:val="both"/>
      </w:pPr>
      <w:r>
        <w:t>28.1. arklinių veislei ir kategorijai nustatytus sveikatos reikalavimus (pagrindiniai arklinių sveikatos reikalavimai, nurodyti 4–16 punktuose);</w:t>
      </w:r>
    </w:p>
    <w:p w:rsidR="00BE0861" w:rsidRDefault="00817237">
      <w:pPr>
        <w:widowControl w:val="0"/>
        <w:shd w:val="clear" w:color="auto" w:fill="FFFFFF"/>
        <w:ind w:firstLine="709"/>
        <w:jc w:val="both"/>
      </w:pPr>
      <w:r>
        <w:t xml:space="preserve">28.2. importuojami iš šalies, kurioje paskutinius šešis mėnesius buvo nustatytas </w:t>
      </w:r>
      <w:proofErr w:type="spellStart"/>
      <w:r>
        <w:t>vezikulinis</w:t>
      </w:r>
      <w:proofErr w:type="spellEnd"/>
      <w:r>
        <w:t xml:space="preserve"> stomatitas arba virusinis </w:t>
      </w:r>
      <w:proofErr w:type="spellStart"/>
      <w:r>
        <w:t>arteritas</w:t>
      </w:r>
      <w:proofErr w:type="spellEnd"/>
      <w:r>
        <w:t>, tačiau:</w:t>
      </w:r>
    </w:p>
    <w:p w:rsidR="00BE0861" w:rsidRDefault="00817237">
      <w:pPr>
        <w:widowControl w:val="0"/>
        <w:shd w:val="clear" w:color="auto" w:fill="FFFFFF"/>
        <w:ind w:firstLine="709"/>
        <w:jc w:val="both"/>
      </w:pPr>
      <w:r>
        <w:t xml:space="preserve">28.2.1. turi būti vežami iš laikymo vietos, kuri ne mažiau kaip šešis mėnesius buvo neužkrėstas </w:t>
      </w:r>
      <w:proofErr w:type="spellStart"/>
      <w:r>
        <w:t>vezikuliniu</w:t>
      </w:r>
      <w:proofErr w:type="spellEnd"/>
      <w:r>
        <w:t xml:space="preserve"> stomatitu ir prieš išsiunčiant arklinius gauti neigiami jų serologinio tyrimo rezultatai,</w:t>
      </w:r>
    </w:p>
    <w:p w:rsidR="00BE0861" w:rsidRDefault="00817237">
      <w:pPr>
        <w:widowControl w:val="0"/>
        <w:shd w:val="clear" w:color="auto" w:fill="FFFFFF"/>
        <w:ind w:firstLine="709"/>
        <w:jc w:val="both"/>
      </w:pPr>
      <w:r>
        <w:t xml:space="preserve">28.2.2. virusinio </w:t>
      </w:r>
      <w:proofErr w:type="spellStart"/>
      <w:r>
        <w:t>arterito</w:t>
      </w:r>
      <w:proofErr w:type="spellEnd"/>
      <w:r>
        <w:t xml:space="preserve"> atveju patinų serologinių, </w:t>
      </w:r>
      <w:proofErr w:type="spellStart"/>
      <w:r>
        <w:t>virusologinių</w:t>
      </w:r>
      <w:proofErr w:type="spellEnd"/>
      <w:r>
        <w:t xml:space="preserve"> ir kitų tyrimų rezultatai turi </w:t>
      </w:r>
      <w:r>
        <w:lastRenderedPageBreak/>
        <w:t>būti neigiami.</w:t>
      </w:r>
    </w:p>
    <w:p w:rsidR="00BE0861" w:rsidRDefault="00817237">
      <w:pPr>
        <w:widowControl w:val="0"/>
        <w:shd w:val="clear" w:color="auto" w:fill="FFFFFF"/>
        <w:ind w:firstLine="709"/>
        <w:jc w:val="both"/>
      </w:pPr>
      <w:r>
        <w:t>29. Arkliniai turi turėti tapatybės dokumentą, kaip nurodyta 7 punkte, ir jiems turi būti išduotas eksportuojančios trečiosios šalies veterinarijos sertifikatas. Veterinarijos sertifikatas turi:</w:t>
      </w:r>
    </w:p>
    <w:p w:rsidR="00BE0861" w:rsidRDefault="00817237">
      <w:pPr>
        <w:widowControl w:val="0"/>
        <w:shd w:val="clear" w:color="auto" w:fill="FFFFFF"/>
        <w:ind w:firstLine="709"/>
        <w:jc w:val="both"/>
      </w:pPr>
      <w:r>
        <w:t>29.1. būti išduotas arklinių pakrovimo išsiuntimui į paskirties ES šalį dieną arba, kai arkliniai registruoti, paskutinę darbo dieną prieš jų pakrovimą;</w:t>
      </w:r>
    </w:p>
    <w:p w:rsidR="00BE0861" w:rsidRDefault="00817237">
      <w:pPr>
        <w:widowControl w:val="0"/>
        <w:shd w:val="clear" w:color="auto" w:fill="FFFFFF"/>
        <w:ind w:firstLine="709"/>
        <w:jc w:val="both"/>
      </w:pPr>
      <w:r>
        <w:t>29.2. būti surašytas paskirties šalies ir importo patikrinimą atliekančios ES šalies kalbomis;</w:t>
      </w:r>
    </w:p>
    <w:p w:rsidR="00BE0861" w:rsidRDefault="00817237">
      <w:pPr>
        <w:widowControl w:val="0"/>
        <w:shd w:val="clear" w:color="auto" w:fill="FFFFFF"/>
        <w:ind w:firstLine="709"/>
        <w:jc w:val="both"/>
      </w:pPr>
      <w:r>
        <w:t>29.3. lydėti arklinių siuntą (originalas);</w:t>
      </w:r>
    </w:p>
    <w:p w:rsidR="00BE0861" w:rsidRDefault="00817237">
      <w:pPr>
        <w:widowControl w:val="0"/>
        <w:shd w:val="clear" w:color="auto" w:fill="FFFFFF"/>
        <w:ind w:firstLine="709"/>
        <w:jc w:val="both"/>
      </w:pPr>
      <w:r>
        <w:t>29.4. patvirtinti, kad arkliniai atitinka Reikalavimų sąlygas;</w:t>
      </w:r>
    </w:p>
    <w:p w:rsidR="00BE0861" w:rsidRDefault="00817237">
      <w:pPr>
        <w:widowControl w:val="0"/>
        <w:shd w:val="clear" w:color="auto" w:fill="FFFFFF"/>
        <w:ind w:firstLine="709"/>
        <w:jc w:val="both"/>
      </w:pPr>
      <w:r>
        <w:t>29.5. būti surašytas viename lape;</w:t>
      </w:r>
    </w:p>
    <w:p w:rsidR="00BE0861" w:rsidRDefault="00817237">
      <w:pPr>
        <w:widowControl w:val="0"/>
        <w:shd w:val="clear" w:color="auto" w:fill="FFFFFF"/>
        <w:ind w:firstLine="709"/>
        <w:jc w:val="both"/>
      </w:pPr>
      <w:r>
        <w:t>29.6. būti išduotas vienam gavėjui arba, kai arkliniai siunčiami skersti, vienai siuntai su sąlyga, kad arkliniai yra tinkamai paženklinti ir aprašyti;</w:t>
      </w:r>
    </w:p>
    <w:p w:rsidR="00BE0861" w:rsidRDefault="00817237">
      <w:pPr>
        <w:widowControl w:val="0"/>
        <w:shd w:val="clear" w:color="auto" w:fill="FFFFFF"/>
        <w:ind w:firstLine="709"/>
        <w:jc w:val="both"/>
      </w:pPr>
      <w:r>
        <w:t>29.7. veterinarijos sertifikatas turi atitikti teisės aktais patvirtintą formą.</w:t>
      </w:r>
    </w:p>
    <w:p w:rsidR="00BE0861" w:rsidRDefault="00817237">
      <w:pPr>
        <w:widowControl w:val="0"/>
        <w:shd w:val="clear" w:color="auto" w:fill="FFFFFF"/>
        <w:ind w:firstLine="709"/>
        <w:jc w:val="both"/>
      </w:pPr>
      <w:r>
        <w:t>30. Europos Komisijos veterinarijos ekspertai atlieka tikrinimus trečiosiose šalyse, siekdami nustatyti, ar laikomasi Reikalavimų, ypač nurodytų 25 punkte. Jei nustatoma, kad patvirtinta laikymo vieta nesilaiko šių reikalavimų, Europos Komisija nedelsdama informuoja ES šalis ir priima sprendimą dėl patvirtinimo sustabdymo. ES šalių ekspertus šiems tikrinimams atlikti paskiria Europos Komisija, remdamasi ES šalių siūlymais. Tikrinimai atliekami Europos Komisijos vardu.</w:t>
      </w:r>
    </w:p>
    <w:p w:rsidR="00BE0861" w:rsidRDefault="00817237">
      <w:pPr>
        <w:widowControl w:val="0"/>
        <w:shd w:val="clear" w:color="auto" w:fill="FFFFFF"/>
        <w:ind w:firstLine="709"/>
        <w:jc w:val="both"/>
      </w:pPr>
      <w:r>
        <w:t>31. Skersti skirti arkliniai, atvežti į paskirties ES šalį, turi būti vežami tiesiai į nurodytą skerdyklą arba per turgus ar paskirstymo centrus ir paskerdžiami laikantis gyvūnų sveikatos reikalavimų per teisės aktais numatytą laikotarpį; nepažeisdama specialiųjų teisės aktų, paskirties ES šalis gali, remdamasi gyvūnų sveikatos reikalavimais, nurodyti skerdyklą, kurioje arkliniai turi būti skerdžiami.</w:t>
      </w:r>
    </w:p>
    <w:p w:rsidR="00BE0861" w:rsidRDefault="00BE0861">
      <w:pPr>
        <w:ind w:firstLine="709"/>
        <w:jc w:val="both"/>
      </w:pPr>
    </w:p>
    <w:p w:rsidR="00BE0861" w:rsidRDefault="00817237">
      <w:pPr>
        <w:widowControl w:val="0"/>
        <w:shd w:val="clear" w:color="auto" w:fill="FFFFFF"/>
        <w:jc w:val="center"/>
      </w:pPr>
      <w:r>
        <w:rPr>
          <w:b/>
          <w:bCs/>
        </w:rPr>
        <w:t>IV. BAIGIAMOSIOS NUOSTATOS</w:t>
      </w:r>
    </w:p>
    <w:p w:rsidR="00BE0861" w:rsidRDefault="00BE0861">
      <w:pPr>
        <w:ind w:firstLine="709"/>
        <w:jc w:val="both"/>
      </w:pPr>
    </w:p>
    <w:p w:rsidR="00BE0861" w:rsidRDefault="00817237">
      <w:pPr>
        <w:widowControl w:val="0"/>
        <w:shd w:val="clear" w:color="auto" w:fill="FFFFFF"/>
        <w:ind w:firstLine="709"/>
        <w:jc w:val="both"/>
      </w:pPr>
      <w:r>
        <w:t>32. Fiziniai ir juridiniai asmenys, pažeidę Reikalavimus, atsako Lietuvos Respublikos įstatymų nustatyta tvarka.</w:t>
      </w:r>
    </w:p>
    <w:p w:rsidR="00BE0861" w:rsidRDefault="00817237">
      <w:pPr>
        <w:widowControl w:val="0"/>
        <w:shd w:val="clear" w:color="auto" w:fill="FFFFFF"/>
        <w:jc w:val="center"/>
      </w:pPr>
      <w:r>
        <w:t>______________</w:t>
      </w:r>
    </w:p>
    <w:p w:rsidR="00BE0861" w:rsidRDefault="00BE0861">
      <w:pPr>
        <w:widowControl w:val="0"/>
        <w:shd w:val="clear" w:color="auto" w:fill="FFFFFF"/>
        <w:ind w:left="5103" w:hanging="1"/>
        <w:sectPr w:rsidR="00BE0861">
          <w:headerReference w:type="first" r:id="rId30"/>
          <w:pgSz w:w="11907" w:h="16839" w:code="9"/>
          <w:pgMar w:top="1701" w:right="567" w:bottom="1134" w:left="1701" w:header="709" w:footer="709" w:gutter="0"/>
          <w:pgNumType w:start="1"/>
          <w:cols w:space="708"/>
          <w:titlePg/>
          <w:docGrid w:linePitch="326"/>
        </w:sectPr>
      </w:pPr>
    </w:p>
    <w:p w:rsidR="00BE0861" w:rsidRDefault="00817237">
      <w:pPr>
        <w:widowControl w:val="0"/>
        <w:shd w:val="clear" w:color="auto" w:fill="FFFFFF"/>
        <w:ind w:left="5103" w:hanging="1"/>
      </w:pPr>
      <w:r>
        <w:lastRenderedPageBreak/>
        <w:t>Prekybos arklinių šeimos gyvūnais</w:t>
      </w:r>
    </w:p>
    <w:p w:rsidR="00BE0861" w:rsidRDefault="00817237">
      <w:pPr>
        <w:widowControl w:val="0"/>
        <w:shd w:val="clear" w:color="auto" w:fill="FFFFFF"/>
        <w:ind w:firstLine="5102"/>
      </w:pPr>
      <w:r>
        <w:t>ir jų importo iš trečiųjų šalių</w:t>
      </w:r>
    </w:p>
    <w:p w:rsidR="00BE0861" w:rsidRDefault="00817237">
      <w:pPr>
        <w:widowControl w:val="0"/>
        <w:shd w:val="clear" w:color="auto" w:fill="FFFFFF"/>
        <w:ind w:firstLine="5102"/>
      </w:pPr>
      <w:r>
        <w:t>veterinarijos reikalavimų</w:t>
      </w:r>
    </w:p>
    <w:p w:rsidR="00BE0861" w:rsidRDefault="00817237">
      <w:pPr>
        <w:widowControl w:val="0"/>
        <w:shd w:val="clear" w:color="auto" w:fill="FFFFFF"/>
        <w:ind w:firstLine="5102"/>
      </w:pPr>
      <w:r>
        <w:t>1 priedas</w:t>
      </w:r>
    </w:p>
    <w:p w:rsidR="00BE0861" w:rsidRDefault="00BE0861">
      <w:pPr>
        <w:ind w:firstLine="709"/>
      </w:pPr>
    </w:p>
    <w:p w:rsidR="00BE0861" w:rsidRDefault="00817237">
      <w:pPr>
        <w:widowControl w:val="0"/>
        <w:shd w:val="clear" w:color="auto" w:fill="FFFFFF"/>
        <w:jc w:val="center"/>
      </w:pPr>
      <w:r>
        <w:rPr>
          <w:b/>
          <w:bCs/>
        </w:rPr>
        <w:t>PRIVALOMŲ PRANEŠTI LIGŲ SĄRAŠAS</w:t>
      </w:r>
    </w:p>
    <w:p w:rsidR="00BE0861" w:rsidRDefault="00BE0861">
      <w:pPr>
        <w:ind w:firstLine="709"/>
      </w:pPr>
    </w:p>
    <w:p w:rsidR="00BE0861" w:rsidRDefault="00817237">
      <w:pPr>
        <w:widowControl w:val="0"/>
        <w:shd w:val="clear" w:color="auto" w:fill="FFFFFF"/>
        <w:ind w:firstLine="709"/>
        <w:jc w:val="both"/>
      </w:pPr>
      <w:r>
        <w:t>Privaloma nedelsiant pranešti apie šių ligų pasireiškimą:</w:t>
      </w:r>
    </w:p>
    <w:p w:rsidR="00BE0861" w:rsidRDefault="00BE0861">
      <w:pPr>
        <w:ind w:firstLine="709"/>
      </w:pPr>
    </w:p>
    <w:p w:rsidR="00BE0861" w:rsidRDefault="00817237">
      <w:pPr>
        <w:widowControl w:val="0"/>
        <w:shd w:val="clear" w:color="auto" w:fill="FFFFFF"/>
        <w:ind w:firstLine="709"/>
        <w:jc w:val="both"/>
      </w:pPr>
      <w:r>
        <w:t xml:space="preserve">– kergimo ligos, </w:t>
      </w:r>
    </w:p>
    <w:p w:rsidR="00BE0861" w:rsidRDefault="00817237">
      <w:pPr>
        <w:widowControl w:val="0"/>
        <w:shd w:val="clear" w:color="auto" w:fill="FFFFFF"/>
        <w:ind w:firstLine="709"/>
        <w:jc w:val="both"/>
      </w:pPr>
      <w:r>
        <w:t>– įnosių,</w:t>
      </w:r>
    </w:p>
    <w:p w:rsidR="00BE0861" w:rsidRDefault="00817237">
      <w:pPr>
        <w:widowControl w:val="0"/>
        <w:shd w:val="clear" w:color="auto" w:fill="FFFFFF"/>
        <w:ind w:firstLine="709"/>
        <w:jc w:val="both"/>
      </w:pPr>
      <w:r>
        <w:t xml:space="preserve">– arklių </w:t>
      </w:r>
      <w:proofErr w:type="spellStart"/>
      <w:r>
        <w:t>encefalomielito</w:t>
      </w:r>
      <w:proofErr w:type="spellEnd"/>
      <w:r>
        <w:t xml:space="preserve"> (visų tipų, įskaitant Venesuelos arklių </w:t>
      </w:r>
      <w:proofErr w:type="spellStart"/>
      <w:r>
        <w:t>encefalomielitą</w:t>
      </w:r>
      <w:proofErr w:type="spellEnd"/>
      <w:r>
        <w:t>),</w:t>
      </w:r>
    </w:p>
    <w:p w:rsidR="00BE0861" w:rsidRDefault="00817237">
      <w:pPr>
        <w:widowControl w:val="0"/>
        <w:shd w:val="clear" w:color="auto" w:fill="FFFFFF"/>
        <w:ind w:firstLine="709"/>
        <w:jc w:val="both"/>
      </w:pPr>
      <w:r>
        <w:t xml:space="preserve">– infekcinės anemijos, </w:t>
      </w:r>
    </w:p>
    <w:p w:rsidR="00BE0861" w:rsidRDefault="00817237">
      <w:pPr>
        <w:widowControl w:val="0"/>
        <w:shd w:val="clear" w:color="auto" w:fill="FFFFFF"/>
        <w:ind w:firstLine="709"/>
        <w:jc w:val="both"/>
      </w:pPr>
      <w:r>
        <w:t>– pasiutligės,</w:t>
      </w:r>
    </w:p>
    <w:p w:rsidR="00BE0861" w:rsidRDefault="00817237">
      <w:pPr>
        <w:widowControl w:val="0"/>
        <w:shd w:val="clear" w:color="auto" w:fill="FFFFFF"/>
        <w:ind w:firstLine="709"/>
        <w:jc w:val="both"/>
      </w:pPr>
      <w:r>
        <w:t xml:space="preserve">– juodligės, </w:t>
      </w:r>
    </w:p>
    <w:p w:rsidR="00BE0861" w:rsidRDefault="00817237">
      <w:pPr>
        <w:widowControl w:val="0"/>
        <w:shd w:val="clear" w:color="auto" w:fill="FFFFFF"/>
        <w:ind w:firstLine="709"/>
        <w:jc w:val="both"/>
      </w:pPr>
      <w:r>
        <w:t xml:space="preserve">– afrikinės arklių ligos, </w:t>
      </w:r>
    </w:p>
    <w:p w:rsidR="00BE0861" w:rsidRDefault="00817237">
      <w:pPr>
        <w:widowControl w:val="0"/>
        <w:shd w:val="clear" w:color="auto" w:fill="FFFFFF"/>
        <w:ind w:firstLine="709"/>
        <w:jc w:val="both"/>
      </w:pPr>
      <w:r>
        <w:t xml:space="preserve">– </w:t>
      </w:r>
      <w:proofErr w:type="spellStart"/>
      <w:r>
        <w:t>vezikulinio</w:t>
      </w:r>
      <w:proofErr w:type="spellEnd"/>
      <w:r>
        <w:t xml:space="preserve"> stomatito.</w:t>
      </w:r>
    </w:p>
    <w:p w:rsidR="00BE0861" w:rsidRDefault="00817237">
      <w:pPr>
        <w:jc w:val="center"/>
      </w:pPr>
      <w:r>
        <w:t>______________</w:t>
      </w:r>
    </w:p>
    <w:p w:rsidR="00BE0861" w:rsidRDefault="00BE0861">
      <w:pPr>
        <w:widowControl w:val="0"/>
        <w:suppressAutoHyphens/>
        <w:ind w:left="4536"/>
        <w:rPr>
          <w:color w:val="000000"/>
        </w:rPr>
        <w:sectPr w:rsidR="00BE0861">
          <w:headerReference w:type="first" r:id="rId31"/>
          <w:pgSz w:w="11907" w:h="16839" w:code="9"/>
          <w:pgMar w:top="1701" w:right="567" w:bottom="1134" w:left="1701" w:header="709" w:footer="709" w:gutter="0"/>
          <w:pgNumType w:start="1"/>
          <w:cols w:space="708"/>
          <w:titlePg/>
          <w:docGrid w:linePitch="326"/>
        </w:sectPr>
      </w:pPr>
    </w:p>
    <w:p w:rsidR="00BE0861" w:rsidRDefault="00817237">
      <w:pPr>
        <w:widowControl w:val="0"/>
        <w:suppressAutoHyphens/>
        <w:ind w:left="4536"/>
      </w:pPr>
      <w:r>
        <w:lastRenderedPageBreak/>
        <w:t xml:space="preserve">Prekybos arklinių šeimos gyvūnais </w:t>
      </w:r>
    </w:p>
    <w:p w:rsidR="00BE0861" w:rsidRDefault="00817237">
      <w:pPr>
        <w:widowControl w:val="0"/>
        <w:suppressAutoHyphens/>
        <w:ind w:left="4536"/>
      </w:pPr>
      <w:r>
        <w:t xml:space="preserve">ir jų importo iš trečiųjų šalių </w:t>
      </w:r>
    </w:p>
    <w:p w:rsidR="00BE0861" w:rsidRDefault="00817237">
      <w:pPr>
        <w:widowControl w:val="0"/>
        <w:suppressAutoHyphens/>
        <w:ind w:left="4536"/>
      </w:pPr>
      <w:r>
        <w:t xml:space="preserve">veterinarijos reikalavimų </w:t>
      </w:r>
    </w:p>
    <w:p w:rsidR="00BE0861" w:rsidRDefault="00817237">
      <w:pPr>
        <w:widowControl w:val="0"/>
        <w:ind w:left="4535"/>
      </w:pPr>
      <w:r>
        <w:t>2 priedas</w:t>
      </w:r>
    </w:p>
    <w:p w:rsidR="00BE0861" w:rsidRDefault="00BE0861">
      <w:pPr>
        <w:widowControl w:val="0"/>
        <w:ind w:right="365"/>
      </w:pPr>
    </w:p>
    <w:p w:rsidR="00BE0861" w:rsidRDefault="00817237">
      <w:pPr>
        <w:widowControl w:val="0"/>
        <w:jc w:val="center"/>
      </w:pPr>
      <w:r>
        <w:rPr>
          <w:b/>
          <w:bCs/>
        </w:rPr>
        <w:t xml:space="preserve">Sveikatos pažyma </w:t>
      </w:r>
      <w:r>
        <w:rPr>
          <w:b/>
          <w:bCs/>
          <w:vertAlign w:val="superscript"/>
        </w:rPr>
        <w:t>(a)</w:t>
      </w:r>
    </w:p>
    <w:p w:rsidR="00BE0861" w:rsidRDefault="00BE0861">
      <w:pPr>
        <w:widowControl w:val="0"/>
        <w:tabs>
          <w:tab w:val="left" w:leader="dot" w:pos="2333"/>
        </w:tabs>
      </w:pPr>
    </w:p>
    <w:p w:rsidR="00BE0861" w:rsidRDefault="00817237">
      <w:pPr>
        <w:widowControl w:val="0"/>
        <w:tabs>
          <w:tab w:val="left" w:leader="dot" w:pos="2333"/>
        </w:tabs>
      </w:pPr>
      <w:r>
        <w:t xml:space="preserve">Paso Nr.: </w:t>
      </w:r>
      <w:r>
        <w:tab/>
      </w:r>
    </w:p>
    <w:p w:rsidR="00BE0861" w:rsidRDefault="00BE0861">
      <w:pPr>
        <w:widowControl w:val="0"/>
        <w:tabs>
          <w:tab w:val="left" w:leader="dot" w:pos="2333"/>
        </w:tabs>
      </w:pPr>
    </w:p>
    <w:p w:rsidR="00BE0861" w:rsidRDefault="00817237">
      <w:pPr>
        <w:widowControl w:val="0"/>
        <w:jc w:val="both"/>
      </w:pPr>
      <w:r>
        <w:t>Aš, toliau pasirašęs, patvirtinu (</w:t>
      </w:r>
      <w:r>
        <w:rPr>
          <w:vertAlign w:val="superscript"/>
        </w:rPr>
        <w:t>b</w:t>
      </w:r>
      <w:r>
        <w:t>), kad nurodytasis arklinių šeimos gyvūnas atitinka šiuos reikalavimus:</w:t>
      </w:r>
    </w:p>
    <w:p w:rsidR="00BE0861" w:rsidRDefault="00BE0861">
      <w:pPr>
        <w:widowControl w:val="0"/>
        <w:jc w:val="both"/>
      </w:pPr>
    </w:p>
    <w:p w:rsidR="00BE0861" w:rsidRDefault="00817237">
      <w:pPr>
        <w:widowControl w:val="0"/>
        <w:jc w:val="both"/>
      </w:pPr>
      <w:r>
        <w:t>a) jis buvo apžiūrėtas šiandien, ir nepastebėta jokių klinikinių ligos požymių;</w:t>
      </w:r>
    </w:p>
    <w:p w:rsidR="00BE0861" w:rsidRDefault="00BE0861">
      <w:pPr>
        <w:widowControl w:val="0"/>
        <w:jc w:val="both"/>
      </w:pPr>
    </w:p>
    <w:p w:rsidR="00BE0861" w:rsidRDefault="00817237">
      <w:pPr>
        <w:widowControl w:val="0"/>
        <w:jc w:val="both"/>
      </w:pPr>
      <w:r>
        <w:t>b) jo nenumatyta skersti pagal nacionalinę užkrečiamųjų ar infekcinių ligų likvidavimo programą;</w:t>
      </w:r>
    </w:p>
    <w:p w:rsidR="00BE0861" w:rsidRDefault="00BE0861">
      <w:pPr>
        <w:widowControl w:val="0"/>
        <w:jc w:val="both"/>
      </w:pPr>
    </w:p>
    <w:p w:rsidR="00BE0861" w:rsidRDefault="00817237">
      <w:pPr>
        <w:widowControl w:val="0"/>
        <w:ind w:left="480" w:hanging="480"/>
        <w:jc w:val="both"/>
      </w:pPr>
      <w:r>
        <w:t>c)</w:t>
      </w:r>
      <w:r>
        <w:tab/>
        <w:t>– jis nėra iš valstybės narės teritorijos ar jos teritorijos dalies, kuriai taikomi apribojimai dėl afrikinės arklių ligos,</w:t>
      </w:r>
    </w:p>
    <w:p w:rsidR="00BE0861" w:rsidRDefault="00BE0861">
      <w:pPr>
        <w:widowControl w:val="0"/>
        <w:ind w:left="480" w:hanging="480"/>
        <w:jc w:val="both"/>
      </w:pPr>
    </w:p>
    <w:p w:rsidR="00BE0861" w:rsidRDefault="00817237">
      <w:pPr>
        <w:widowControl w:val="0"/>
        <w:tabs>
          <w:tab w:val="left" w:leader="dot" w:pos="8102"/>
        </w:tabs>
        <w:ind w:left="720"/>
        <w:jc w:val="both"/>
      </w:pPr>
      <w:r>
        <w:t>jis yra iš valstybės narės teritorijos ar jos teritorijos dalies, kuriai dėl priežasčių, susijusių su ................................. gyvūnų sveikata, buvo taikomi apribojimai, tačiau karantino stotyje ................................. nuo ............................. iki ............................. atlikus Direktyvos 2009/1 56/EC 5 straipsnio 5 dalyje numatytus tyrimus, ligų nebuvo aptikta (</w:t>
      </w:r>
      <w:r>
        <w:rPr>
          <w:vertAlign w:val="superscript"/>
        </w:rPr>
        <w:t>c</w:t>
      </w:r>
      <w:r>
        <w:t>);</w:t>
      </w:r>
    </w:p>
    <w:p w:rsidR="00BE0861" w:rsidRDefault="00BE0861">
      <w:pPr>
        <w:widowControl w:val="0"/>
        <w:tabs>
          <w:tab w:val="left" w:leader="dot" w:pos="8102"/>
        </w:tabs>
        <w:jc w:val="both"/>
      </w:pPr>
    </w:p>
    <w:p w:rsidR="00BE0861" w:rsidRDefault="00817237">
      <w:pPr>
        <w:widowControl w:val="0"/>
        <w:tabs>
          <w:tab w:val="left" w:pos="456"/>
        </w:tabs>
        <w:ind w:left="480"/>
        <w:jc w:val="both"/>
      </w:pPr>
      <w:r>
        <w:t>– jis nėra skiepytas nuo afrikinės arklių ligos arba</w:t>
      </w:r>
    </w:p>
    <w:p w:rsidR="00BE0861" w:rsidRDefault="00BE0861">
      <w:pPr>
        <w:widowControl w:val="0"/>
        <w:tabs>
          <w:tab w:val="left" w:pos="456"/>
        </w:tabs>
        <w:jc w:val="both"/>
      </w:pPr>
    </w:p>
    <w:p w:rsidR="00BE0861" w:rsidRDefault="00817237">
      <w:pPr>
        <w:widowControl w:val="0"/>
        <w:tabs>
          <w:tab w:val="left" w:leader="dot" w:pos="5146"/>
        </w:tabs>
        <w:ind w:left="720"/>
        <w:jc w:val="both"/>
      </w:pPr>
      <w:r>
        <w:t>jis buvo skiepytas nuo afrikinės arklių ligos .................................. (data) (</w:t>
      </w:r>
      <w:r>
        <w:rPr>
          <w:vertAlign w:val="superscript"/>
        </w:rPr>
        <w:t>c</w:t>
      </w:r>
      <w:r>
        <w:t>) (</w:t>
      </w:r>
      <w:r>
        <w:rPr>
          <w:vertAlign w:val="superscript"/>
        </w:rPr>
        <w:t>d</w:t>
      </w:r>
      <w:r>
        <w:t>);</w:t>
      </w:r>
    </w:p>
    <w:p w:rsidR="00BE0861" w:rsidRDefault="00BE0861">
      <w:pPr>
        <w:widowControl w:val="0"/>
        <w:tabs>
          <w:tab w:val="left" w:leader="dot" w:pos="5146"/>
        </w:tabs>
        <w:jc w:val="both"/>
      </w:pPr>
    </w:p>
    <w:p w:rsidR="00BE0861" w:rsidRDefault="00817237">
      <w:pPr>
        <w:widowControl w:val="0"/>
        <w:ind w:left="480" w:hanging="480"/>
        <w:jc w:val="both"/>
      </w:pPr>
      <w:r>
        <w:t>d)</w:t>
      </w:r>
      <w:r>
        <w:tab/>
        <w:t>jis nėra kilęs iš ūkio, kuriam dėl priežasčių, susijusių su gyvūno sveikata, buvo taikomas draudimas, ir neturėjo kontakto su arklinių šeimos gyvūnais iš ūkio, kuriam dėl priežasčių, susijusių su gyvūno sveikata, apribojimai buvo taikomi:</w:t>
      </w:r>
    </w:p>
    <w:p w:rsidR="00BE0861" w:rsidRDefault="00BE0861">
      <w:pPr>
        <w:widowControl w:val="0"/>
        <w:ind w:left="480" w:hanging="480"/>
        <w:jc w:val="both"/>
      </w:pPr>
    </w:p>
    <w:p w:rsidR="00BE0861" w:rsidRDefault="00817237">
      <w:pPr>
        <w:widowControl w:val="0"/>
        <w:ind w:left="1080" w:hanging="600"/>
        <w:jc w:val="both"/>
      </w:pPr>
      <w:r>
        <w:t>–</w:t>
      </w:r>
      <w:r>
        <w:tab/>
        <w:t>šešis mėnesius arklinių šeimos gyvūnams, įtariamiems užsikrėtus kergimo liga, skaičiuojant nuo paskutinio buvusio ar galimo kontakto su sergančiu gyvūnu dienos, tačiau eržilams šis draudimas taikomas iki gyvūno iškastravimo,</w:t>
      </w:r>
    </w:p>
    <w:p w:rsidR="00BE0861" w:rsidRDefault="00BE0861">
      <w:pPr>
        <w:widowControl w:val="0"/>
        <w:jc w:val="both"/>
      </w:pPr>
    </w:p>
    <w:p w:rsidR="00BE0861" w:rsidRDefault="00817237">
      <w:pPr>
        <w:widowControl w:val="0"/>
        <w:ind w:left="1080" w:hanging="600"/>
        <w:jc w:val="both"/>
      </w:pPr>
      <w:r>
        <w:t>–</w:t>
      </w:r>
      <w:r>
        <w:tab/>
        <w:t xml:space="preserve">šešis mėnesius įnosių ar arklinių </w:t>
      </w:r>
      <w:proofErr w:type="spellStart"/>
      <w:r>
        <w:t>encefalomielito</w:t>
      </w:r>
      <w:proofErr w:type="spellEnd"/>
      <w:r>
        <w:t xml:space="preserve"> atvejais, skaičiuojant nuo šiomis ligomis sergančio arklinių šeimos gyvūno paskerdimo dienos,</w:t>
      </w:r>
    </w:p>
    <w:p w:rsidR="00BE0861" w:rsidRDefault="00BE0861">
      <w:pPr>
        <w:widowControl w:val="0"/>
        <w:jc w:val="both"/>
      </w:pPr>
    </w:p>
    <w:p w:rsidR="00BE0861" w:rsidRDefault="00817237">
      <w:pPr>
        <w:widowControl w:val="0"/>
        <w:ind w:left="1080" w:hanging="600"/>
        <w:jc w:val="both"/>
      </w:pPr>
      <w:r>
        <w:t>–</w:t>
      </w:r>
      <w:r>
        <w:tab/>
        <w:t xml:space="preserve">infekcinės anemijos atveju iki tos dienos, kurią, paskerdus užkrėstus gyvūnus ir likusiems gyvūnams kas tris mėnesius atlikus du </w:t>
      </w:r>
      <w:proofErr w:type="spellStart"/>
      <w:r>
        <w:t>Coggins</w:t>
      </w:r>
      <w:proofErr w:type="spellEnd"/>
      <w:r>
        <w:t xml:space="preserve"> tyrimus, abiejų tyrimų rezultatai yra neigiami,</w:t>
      </w:r>
    </w:p>
    <w:p w:rsidR="00BE0861" w:rsidRDefault="00BE0861">
      <w:pPr>
        <w:widowControl w:val="0"/>
        <w:jc w:val="both"/>
      </w:pPr>
    </w:p>
    <w:p w:rsidR="00BE0861" w:rsidRDefault="00817237">
      <w:pPr>
        <w:widowControl w:val="0"/>
        <w:ind w:left="1080" w:hanging="600"/>
        <w:jc w:val="both"/>
      </w:pPr>
      <w:r>
        <w:t>–</w:t>
      </w:r>
      <w:r>
        <w:tab/>
        <w:t xml:space="preserve">šešis mėnesius </w:t>
      </w:r>
      <w:proofErr w:type="spellStart"/>
      <w:r>
        <w:t>vezikulinio</w:t>
      </w:r>
      <w:proofErr w:type="spellEnd"/>
      <w:r>
        <w:t xml:space="preserve"> stomatito atveju,</w:t>
      </w:r>
    </w:p>
    <w:p w:rsidR="00BE0861" w:rsidRDefault="00BE0861">
      <w:pPr>
        <w:widowControl w:val="0"/>
        <w:jc w:val="both"/>
      </w:pPr>
    </w:p>
    <w:p w:rsidR="00BE0861" w:rsidRDefault="00817237">
      <w:pPr>
        <w:widowControl w:val="0"/>
        <w:ind w:left="1080" w:hanging="600"/>
        <w:jc w:val="both"/>
      </w:pPr>
      <w:r>
        <w:t>–</w:t>
      </w:r>
      <w:r>
        <w:tab/>
        <w:t>vieną mėnesį nuo paskutinio užregistruoto pasiutligės atvejo,</w:t>
      </w:r>
    </w:p>
    <w:p w:rsidR="00BE0861" w:rsidRDefault="00BE0861">
      <w:pPr>
        <w:widowControl w:val="0"/>
        <w:jc w:val="both"/>
      </w:pPr>
    </w:p>
    <w:p w:rsidR="00BE0861" w:rsidRDefault="00817237">
      <w:pPr>
        <w:widowControl w:val="0"/>
        <w:ind w:left="1080" w:hanging="600"/>
        <w:jc w:val="both"/>
      </w:pPr>
      <w:r>
        <w:t>–</w:t>
      </w:r>
      <w:r>
        <w:tab/>
        <w:t>15 dienų nuo paskutinio užregistruoto juodligės atvejo,</w:t>
      </w:r>
    </w:p>
    <w:p w:rsidR="00BE0861" w:rsidRDefault="00BE0861">
      <w:pPr>
        <w:widowControl w:val="0"/>
        <w:jc w:val="both"/>
      </w:pPr>
    </w:p>
    <w:p w:rsidR="00BE0861" w:rsidRDefault="00817237">
      <w:pPr>
        <w:widowControl w:val="0"/>
        <w:ind w:left="1080" w:hanging="600"/>
        <w:jc w:val="both"/>
      </w:pPr>
      <w:r>
        <w:t>–</w:t>
      </w:r>
      <w:r>
        <w:tab/>
        <w:t xml:space="preserve">jei visi ligai imlios rūšies gyvūnai, buvę ūkyje, buvo paskersti, o patalpos dezinfekuotos, </w:t>
      </w:r>
      <w:r>
        <w:lastRenderedPageBreak/>
        <w:t>draudimas galioja 30 dienų, o juodligės atveju – 15 dienų, skaičiuojant nuo gyvūnų sunaikinimo ir patalpų dezinfekavimo dienos;</w:t>
      </w:r>
    </w:p>
    <w:p w:rsidR="00BE0861" w:rsidRDefault="00BE0861">
      <w:pPr>
        <w:widowControl w:val="0"/>
        <w:jc w:val="both"/>
      </w:pPr>
    </w:p>
    <w:p w:rsidR="00BE0861" w:rsidRDefault="00817237">
      <w:pPr>
        <w:widowControl w:val="0"/>
        <w:ind w:left="480" w:hanging="480"/>
        <w:jc w:val="both"/>
      </w:pPr>
      <w:r>
        <w:t>e)</w:t>
      </w:r>
      <w:r>
        <w:tab/>
        <w:t>kiek man žinoma, jie per paskutines 15 dienų neturėjo kontakto su infekcinėmis ar užkrečiamosiomis ligomis sergančiais arklinių šeimos gyvūnais;</w:t>
      </w:r>
    </w:p>
    <w:p w:rsidR="00BE0861" w:rsidRDefault="00BE0861">
      <w:pPr>
        <w:widowControl w:val="0"/>
        <w:ind w:left="480" w:hanging="480"/>
        <w:jc w:val="both"/>
      </w:pPr>
    </w:p>
    <w:p w:rsidR="00BE0861" w:rsidRDefault="00817237">
      <w:pPr>
        <w:widowControl w:val="0"/>
        <w:ind w:left="480" w:hanging="480"/>
        <w:jc w:val="both"/>
      </w:pPr>
      <w:r>
        <w:t>f)</w:t>
      </w:r>
      <w:r>
        <w:tab/>
        <w:t>patikrinimo metu pirmiau nurodyti gyvūnai pagal Reglamento (EB) Nr. 1/2005 nuostatas buvo tinkami vežti numatytu reisu (</w:t>
      </w:r>
      <w:r>
        <w:rPr>
          <w:vertAlign w:val="superscript"/>
        </w:rPr>
        <w:t>e</w:t>
      </w:r>
      <w:r>
        <w:t>).</w:t>
      </w:r>
    </w:p>
    <w:p w:rsidR="00BE0861" w:rsidRDefault="00BE0861">
      <w:pPr>
        <w:widowControl w:val="0"/>
      </w:pPr>
    </w:p>
    <w:tbl>
      <w:tblPr>
        <w:tblW w:w="9143" w:type="dxa"/>
        <w:tblInd w:w="40" w:type="dxa"/>
        <w:tblLayout w:type="fixed"/>
        <w:tblCellMar>
          <w:left w:w="40" w:type="dxa"/>
          <w:right w:w="40" w:type="dxa"/>
        </w:tblCellMar>
        <w:tblLook w:val="0000" w:firstRow="0" w:lastRow="0" w:firstColumn="0" w:lastColumn="0" w:noHBand="0" w:noVBand="0"/>
      </w:tblPr>
      <w:tblGrid>
        <w:gridCol w:w="2228"/>
        <w:gridCol w:w="1884"/>
        <w:gridCol w:w="5031"/>
      </w:tblGrid>
      <w:tr w:rsidR="00BE0861">
        <w:trPr>
          <w:cantSplit/>
          <w:trHeight w:val="20"/>
        </w:trPr>
        <w:tc>
          <w:tcPr>
            <w:tcW w:w="2228" w:type="dxa"/>
            <w:tcBorders>
              <w:top w:val="single" w:sz="6" w:space="0" w:color="auto"/>
              <w:left w:val="nil"/>
              <w:bottom w:val="single" w:sz="6" w:space="0" w:color="auto"/>
              <w:right w:val="single" w:sz="6" w:space="0" w:color="auto"/>
            </w:tcBorders>
            <w:shd w:val="clear" w:color="auto" w:fill="FFFFFF"/>
          </w:tcPr>
          <w:p w:rsidR="00BE0861" w:rsidRDefault="00817237">
            <w:pPr>
              <w:widowControl w:val="0"/>
              <w:jc w:val="center"/>
              <w:rPr>
                <w:sz w:val="22"/>
              </w:rPr>
            </w:pPr>
            <w:r>
              <w:rPr>
                <w:sz w:val="22"/>
              </w:rPr>
              <w:t>Data</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jc w:val="center"/>
              <w:rPr>
                <w:sz w:val="22"/>
              </w:rPr>
            </w:pPr>
            <w:r>
              <w:rPr>
                <w:sz w:val="22"/>
              </w:rPr>
              <w:t>Vieta</w:t>
            </w:r>
          </w:p>
        </w:tc>
        <w:tc>
          <w:tcPr>
            <w:tcW w:w="5031" w:type="dxa"/>
            <w:tcBorders>
              <w:top w:val="single" w:sz="6" w:space="0" w:color="auto"/>
              <w:left w:val="single" w:sz="6" w:space="0" w:color="auto"/>
              <w:bottom w:val="single" w:sz="6" w:space="0" w:color="auto"/>
              <w:right w:val="nil"/>
            </w:tcBorders>
            <w:shd w:val="clear" w:color="auto" w:fill="FFFFFF"/>
          </w:tcPr>
          <w:p w:rsidR="00BE0861" w:rsidRDefault="00817237">
            <w:pPr>
              <w:widowControl w:val="0"/>
              <w:jc w:val="center"/>
              <w:rPr>
                <w:sz w:val="22"/>
              </w:rPr>
            </w:pPr>
            <w:r>
              <w:rPr>
                <w:sz w:val="22"/>
              </w:rPr>
              <w:t>Oficialiai paskirto veterinarijos gydytojo antspaudas ir parašas (</w:t>
            </w:r>
            <w:r>
              <w:rPr>
                <w:sz w:val="22"/>
                <w:vertAlign w:val="superscript"/>
              </w:rPr>
              <w:t>1</w:t>
            </w:r>
            <w:r>
              <w:rPr>
                <w:sz w:val="22"/>
              </w:rPr>
              <w:t>)</w:t>
            </w:r>
          </w:p>
        </w:tc>
      </w:tr>
      <w:tr w:rsidR="00BE0861">
        <w:trPr>
          <w:cantSplit/>
          <w:trHeight w:val="20"/>
        </w:trPr>
        <w:tc>
          <w:tcPr>
            <w:tcW w:w="2228" w:type="dxa"/>
            <w:tcBorders>
              <w:top w:val="single" w:sz="6" w:space="0" w:color="auto"/>
              <w:left w:val="nil"/>
              <w:bottom w:val="single" w:sz="6" w:space="0" w:color="auto"/>
              <w:right w:val="single" w:sz="6" w:space="0" w:color="auto"/>
            </w:tcBorders>
            <w:shd w:val="clear" w:color="auto" w:fill="FFFFFF"/>
          </w:tcPr>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p w:rsidR="00BE0861" w:rsidRDefault="00BE0861">
            <w:pPr>
              <w:widowControl w:val="0"/>
              <w:rPr>
                <w:sz w:val="22"/>
              </w:rPr>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E0861" w:rsidRDefault="00BE0861">
            <w:pPr>
              <w:widowControl w:val="0"/>
              <w:rPr>
                <w:sz w:val="22"/>
              </w:rPr>
            </w:pPr>
          </w:p>
        </w:tc>
        <w:tc>
          <w:tcPr>
            <w:tcW w:w="5031" w:type="dxa"/>
            <w:tcBorders>
              <w:top w:val="single" w:sz="6" w:space="0" w:color="auto"/>
              <w:left w:val="single" w:sz="6" w:space="0" w:color="auto"/>
              <w:bottom w:val="single" w:sz="6" w:space="0" w:color="auto"/>
              <w:right w:val="nil"/>
            </w:tcBorders>
            <w:shd w:val="clear" w:color="auto" w:fill="FFFFFF"/>
          </w:tcPr>
          <w:p w:rsidR="00BE0861" w:rsidRDefault="00BE0861">
            <w:pPr>
              <w:widowControl w:val="0"/>
              <w:rPr>
                <w:sz w:val="22"/>
              </w:rPr>
            </w:pPr>
          </w:p>
        </w:tc>
      </w:tr>
      <w:tr w:rsidR="00BE0861">
        <w:trPr>
          <w:cantSplit/>
          <w:trHeight w:val="20"/>
        </w:trPr>
        <w:tc>
          <w:tcPr>
            <w:tcW w:w="9143" w:type="dxa"/>
            <w:gridSpan w:val="3"/>
            <w:tcBorders>
              <w:top w:val="single" w:sz="6" w:space="0" w:color="auto"/>
              <w:left w:val="nil"/>
              <w:bottom w:val="single" w:sz="6" w:space="0" w:color="auto"/>
              <w:right w:val="nil"/>
            </w:tcBorders>
            <w:shd w:val="clear" w:color="auto" w:fill="FFFFFF"/>
          </w:tcPr>
          <w:p w:rsidR="00BE0861" w:rsidRDefault="00817237">
            <w:pPr>
              <w:widowControl w:val="0"/>
              <w:rPr>
                <w:sz w:val="22"/>
              </w:rPr>
            </w:pPr>
            <w:r>
              <w:rPr>
                <w:sz w:val="22"/>
              </w:rPr>
              <w:t>(</w:t>
            </w:r>
            <w:r>
              <w:rPr>
                <w:sz w:val="22"/>
                <w:vertAlign w:val="superscript"/>
              </w:rPr>
              <w:t>1</w:t>
            </w:r>
            <w:r>
              <w:rPr>
                <w:sz w:val="22"/>
              </w:rPr>
              <w:t>) Vardas, pavardė didžiosiomis raidėmis ir pareigos.</w:t>
            </w:r>
          </w:p>
        </w:tc>
      </w:tr>
    </w:tbl>
    <w:p w:rsidR="00BE0861" w:rsidRDefault="00BE0861">
      <w:pPr>
        <w:widowControl w:val="0"/>
      </w:pPr>
    </w:p>
    <w:p w:rsidR="00BE0861" w:rsidRDefault="00817237">
      <w:pPr>
        <w:widowControl w:val="0"/>
        <w:ind w:left="840" w:hanging="840"/>
        <w:jc w:val="both"/>
        <w:rPr>
          <w:sz w:val="22"/>
        </w:rPr>
      </w:pPr>
      <w:r>
        <w:rPr>
          <w:sz w:val="22"/>
        </w:rPr>
        <w:t>(</w:t>
      </w:r>
      <w:r>
        <w:rPr>
          <w:sz w:val="22"/>
          <w:vertAlign w:val="superscript"/>
        </w:rPr>
        <w:t>a</w:t>
      </w:r>
      <w:r>
        <w:rPr>
          <w:sz w:val="22"/>
        </w:rPr>
        <w:t>)</w:t>
      </w:r>
      <w:r>
        <w:rPr>
          <w:sz w:val="22"/>
        </w:rPr>
        <w:tab/>
        <w:t>Ši pažyma nereikalinga esant dvišaliam susitarimui, numatytam Direktyvos 2009/1 56/EC 6 straipsnyje.</w:t>
      </w:r>
    </w:p>
    <w:p w:rsidR="00BE0861" w:rsidRDefault="00817237">
      <w:pPr>
        <w:widowControl w:val="0"/>
        <w:tabs>
          <w:tab w:val="left" w:pos="192"/>
        </w:tabs>
        <w:ind w:left="840" w:hanging="840"/>
        <w:jc w:val="both"/>
        <w:rPr>
          <w:sz w:val="22"/>
        </w:rPr>
      </w:pPr>
      <w:r>
        <w:rPr>
          <w:sz w:val="22"/>
        </w:rPr>
        <w:t>(</w:t>
      </w:r>
      <w:r>
        <w:rPr>
          <w:sz w:val="22"/>
          <w:vertAlign w:val="superscript"/>
        </w:rPr>
        <w:t>b</w:t>
      </w:r>
      <w:r>
        <w:rPr>
          <w:sz w:val="22"/>
        </w:rPr>
        <w:t>)</w:t>
      </w:r>
      <w:r>
        <w:rPr>
          <w:sz w:val="22"/>
        </w:rPr>
        <w:tab/>
        <w:t>Galioja 10 dienų.</w:t>
      </w:r>
    </w:p>
    <w:p w:rsidR="00BE0861" w:rsidRDefault="00817237">
      <w:pPr>
        <w:widowControl w:val="0"/>
        <w:tabs>
          <w:tab w:val="left" w:pos="192"/>
        </w:tabs>
        <w:ind w:left="840" w:hanging="840"/>
        <w:jc w:val="both"/>
        <w:rPr>
          <w:sz w:val="22"/>
        </w:rPr>
      </w:pPr>
      <w:r>
        <w:rPr>
          <w:sz w:val="22"/>
        </w:rPr>
        <w:t>(</w:t>
      </w:r>
      <w:r>
        <w:rPr>
          <w:sz w:val="22"/>
          <w:vertAlign w:val="superscript"/>
        </w:rPr>
        <w:t>c</w:t>
      </w:r>
      <w:r>
        <w:rPr>
          <w:sz w:val="22"/>
        </w:rPr>
        <w:t>)</w:t>
      </w:r>
      <w:r>
        <w:rPr>
          <w:sz w:val="22"/>
        </w:rPr>
        <w:tab/>
        <w:t>Netinkamą išbraukti.</w:t>
      </w:r>
    </w:p>
    <w:p w:rsidR="00BE0861" w:rsidRDefault="00817237">
      <w:pPr>
        <w:widowControl w:val="0"/>
        <w:tabs>
          <w:tab w:val="left" w:pos="192"/>
        </w:tabs>
        <w:ind w:left="840" w:hanging="840"/>
        <w:jc w:val="both"/>
        <w:rPr>
          <w:sz w:val="22"/>
        </w:rPr>
      </w:pPr>
      <w:r>
        <w:rPr>
          <w:sz w:val="22"/>
        </w:rPr>
        <w:t>(</w:t>
      </w:r>
      <w:r>
        <w:rPr>
          <w:sz w:val="22"/>
          <w:vertAlign w:val="superscript"/>
        </w:rPr>
        <w:t>d</w:t>
      </w:r>
      <w:r>
        <w:rPr>
          <w:sz w:val="22"/>
        </w:rPr>
        <w:t>)</w:t>
      </w:r>
      <w:r>
        <w:rPr>
          <w:sz w:val="22"/>
        </w:rPr>
        <w:tab/>
        <w:t>Pase būtina nurodyti paskiepijimo datą.</w:t>
      </w:r>
    </w:p>
    <w:p w:rsidR="00BE0861" w:rsidRDefault="00817237">
      <w:pPr>
        <w:widowControl w:val="0"/>
        <w:ind w:left="840" w:hanging="840"/>
        <w:rPr>
          <w:sz w:val="22"/>
        </w:rPr>
      </w:pPr>
      <w:r>
        <w:rPr>
          <w:sz w:val="22"/>
        </w:rPr>
        <w:t>(</w:t>
      </w:r>
      <w:r>
        <w:rPr>
          <w:sz w:val="22"/>
          <w:vertAlign w:val="superscript"/>
        </w:rPr>
        <w:t>e</w:t>
      </w:r>
      <w:r>
        <w:rPr>
          <w:sz w:val="22"/>
        </w:rPr>
        <w:t>)</w:t>
      </w:r>
      <w:r>
        <w:rPr>
          <w:sz w:val="22"/>
        </w:rPr>
        <w:tab/>
        <w:t>Ši pažyma neatleidžia vežėjų nuo pareigų pagal galiojančias Bendrijos nuostatas, ypač dėl gyvūnų tinkamumo vežti.</w:t>
      </w:r>
    </w:p>
    <w:p w:rsidR="00BE0861" w:rsidRDefault="00BE0861">
      <w:pPr>
        <w:widowControl w:val="0"/>
      </w:pPr>
    </w:p>
    <w:p w:rsidR="00BE0861" w:rsidRDefault="00817237">
      <w:pPr>
        <w:widowControl w:val="0"/>
        <w:jc w:val="center"/>
      </w:pPr>
      <w:r>
        <w:t>_________________</w:t>
      </w:r>
    </w:p>
    <w:p w:rsidR="00BE0861" w:rsidRDefault="00817237">
      <w:pPr>
        <w:rPr>
          <w:rFonts w:eastAsia="MS Mincho"/>
          <w:i/>
          <w:iCs/>
          <w:sz w:val="20"/>
        </w:rPr>
      </w:pPr>
      <w:r>
        <w:rPr>
          <w:rFonts w:eastAsia="MS Mincho"/>
          <w:i/>
          <w:iCs/>
          <w:sz w:val="20"/>
        </w:rPr>
        <w:t>Priedo pakeitimai:</w:t>
      </w:r>
    </w:p>
    <w:p w:rsidR="00BE0861" w:rsidRDefault="00817237">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B1-342</w:t>
        </w:r>
      </w:hyperlink>
      <w:r>
        <w:rPr>
          <w:rFonts w:eastAsia="MS Mincho"/>
          <w:i/>
          <w:iCs/>
          <w:sz w:val="20"/>
        </w:rPr>
        <w:t>, 2010-09-20, Žin., 2010, Nr. 113-5816 (2010-09-25), i. k. 110110MISAK00B1-342</w:t>
      </w:r>
    </w:p>
    <w:p w:rsidR="00BE0861" w:rsidRDefault="00BE0861"/>
    <w:p w:rsidR="00BE0861" w:rsidRDefault="00BE0861">
      <w:pPr>
        <w:widowControl w:val="0"/>
        <w:ind w:left="4536"/>
        <w:sectPr w:rsidR="00BE0861">
          <w:headerReference w:type="first" r:id="rId33"/>
          <w:pgSz w:w="11907" w:h="16839" w:code="9"/>
          <w:pgMar w:top="1701" w:right="567" w:bottom="1134" w:left="1701" w:header="709" w:footer="709" w:gutter="0"/>
          <w:pgNumType w:start="1"/>
          <w:cols w:space="708"/>
          <w:titlePg/>
          <w:docGrid w:linePitch="326"/>
        </w:sectPr>
      </w:pPr>
    </w:p>
    <w:p w:rsidR="00BE0861" w:rsidRDefault="00817237">
      <w:pPr>
        <w:widowControl w:val="0"/>
        <w:ind w:left="4536"/>
      </w:pPr>
      <w:r>
        <w:lastRenderedPageBreak/>
        <w:t xml:space="preserve">Prekybos arklinių šeimos gyvūnais </w:t>
      </w:r>
    </w:p>
    <w:p w:rsidR="00BE0861" w:rsidRDefault="00817237">
      <w:pPr>
        <w:widowControl w:val="0"/>
        <w:ind w:left="4536"/>
      </w:pPr>
      <w:r>
        <w:t xml:space="preserve">ir jų importo iš trečiųjų šalių </w:t>
      </w:r>
    </w:p>
    <w:p w:rsidR="00BE0861" w:rsidRDefault="00817237">
      <w:pPr>
        <w:widowControl w:val="0"/>
        <w:ind w:left="4536"/>
      </w:pPr>
      <w:r>
        <w:t xml:space="preserve">veterinarijos reikalavimų </w:t>
      </w:r>
    </w:p>
    <w:p w:rsidR="00BE0861" w:rsidRDefault="00817237">
      <w:pPr>
        <w:widowControl w:val="0"/>
        <w:ind w:left="4535"/>
      </w:pPr>
      <w:r>
        <w:t>3 priedas</w:t>
      </w:r>
    </w:p>
    <w:p w:rsidR="00BE0861" w:rsidRDefault="00BE0861">
      <w:pPr>
        <w:widowControl w:val="0"/>
      </w:pPr>
    </w:p>
    <w:p w:rsidR="00BE0861" w:rsidRDefault="00817237">
      <w:pPr>
        <w:widowControl w:val="0"/>
        <w:jc w:val="center"/>
        <w:rPr>
          <w:b/>
        </w:rPr>
      </w:pPr>
      <w:r>
        <w:rPr>
          <w:b/>
        </w:rPr>
        <w:t>SVEIKATOS SERTIFIKATAS</w:t>
      </w:r>
    </w:p>
    <w:p w:rsidR="00BE0861" w:rsidRDefault="00BE0861">
      <w:pPr>
        <w:widowControl w:val="0"/>
        <w:jc w:val="center"/>
      </w:pPr>
    </w:p>
    <w:p w:rsidR="00BE0861" w:rsidRDefault="00817237">
      <w:pPr>
        <w:widowControl w:val="0"/>
        <w:jc w:val="center"/>
        <w:rPr>
          <w:b/>
        </w:rPr>
      </w:pPr>
      <w:r>
        <w:rPr>
          <w:b/>
        </w:rPr>
        <w:t>Prekybai tarp valstybių narių</w:t>
      </w:r>
    </w:p>
    <w:p w:rsidR="00BE0861" w:rsidRDefault="00BE0861">
      <w:pPr>
        <w:widowControl w:val="0"/>
        <w:jc w:val="center"/>
      </w:pPr>
    </w:p>
    <w:p w:rsidR="00BE0861" w:rsidRDefault="00817237">
      <w:pPr>
        <w:widowControl w:val="0"/>
        <w:jc w:val="center"/>
        <w:rPr>
          <w:b/>
        </w:rPr>
      </w:pPr>
      <w:r>
        <w:rPr>
          <w:b/>
        </w:rPr>
        <w:t>ARKLINIŲ ŠEIMOS GYVŪNAIS</w:t>
      </w:r>
    </w:p>
    <w:p w:rsidR="00BE0861" w:rsidRDefault="00BE0861">
      <w:pPr>
        <w:widowControl w:val="0"/>
      </w:pPr>
    </w:p>
    <w:tbl>
      <w:tblPr>
        <w:tblW w:w="9151" w:type="dxa"/>
        <w:tblInd w:w="40" w:type="dxa"/>
        <w:tblLayout w:type="fixed"/>
        <w:tblCellMar>
          <w:left w:w="40" w:type="dxa"/>
          <w:right w:w="40" w:type="dxa"/>
        </w:tblCellMar>
        <w:tblLook w:val="0000" w:firstRow="0" w:lastRow="0" w:firstColumn="0" w:lastColumn="0" w:noHBand="0" w:noVBand="0"/>
      </w:tblPr>
      <w:tblGrid>
        <w:gridCol w:w="357"/>
        <w:gridCol w:w="1450"/>
        <w:gridCol w:w="38"/>
        <w:gridCol w:w="672"/>
        <w:gridCol w:w="14"/>
        <w:gridCol w:w="30"/>
        <w:gridCol w:w="796"/>
        <w:gridCol w:w="708"/>
        <w:gridCol w:w="650"/>
        <w:gridCol w:w="903"/>
        <w:gridCol w:w="531"/>
        <w:gridCol w:w="44"/>
        <w:gridCol w:w="414"/>
        <w:gridCol w:w="233"/>
        <w:gridCol w:w="90"/>
        <w:gridCol w:w="30"/>
        <w:gridCol w:w="711"/>
        <w:gridCol w:w="727"/>
        <w:gridCol w:w="753"/>
      </w:tblGrid>
      <w:tr w:rsidR="00BE0861">
        <w:trPr>
          <w:cantSplit/>
          <w:trHeight w:val="23"/>
        </w:trPr>
        <w:tc>
          <w:tcPr>
            <w:tcW w:w="4715" w:type="dxa"/>
            <w:gridSpan w:val="9"/>
            <w:tcBorders>
              <w:top w:val="nil"/>
              <w:left w:val="nil"/>
              <w:bottom w:val="single" w:sz="6" w:space="0" w:color="auto"/>
              <w:right w:val="nil"/>
            </w:tcBorders>
            <w:shd w:val="clear" w:color="auto" w:fill="FFFFFF"/>
          </w:tcPr>
          <w:p w:rsidR="00BE0861" w:rsidRDefault="00817237">
            <w:pPr>
              <w:widowControl w:val="0"/>
              <w:rPr>
                <w:sz w:val="22"/>
              </w:rPr>
            </w:pPr>
            <w:r>
              <w:rPr>
                <w:b/>
                <w:bCs/>
                <w:sz w:val="22"/>
              </w:rPr>
              <w:t>EUROPOS SĄJUNGA</w:t>
            </w:r>
          </w:p>
        </w:tc>
        <w:tc>
          <w:tcPr>
            <w:tcW w:w="4436" w:type="dxa"/>
            <w:gridSpan w:val="10"/>
            <w:tcBorders>
              <w:top w:val="nil"/>
              <w:left w:val="nil"/>
              <w:bottom w:val="single" w:sz="6" w:space="0" w:color="auto"/>
              <w:right w:val="nil"/>
            </w:tcBorders>
            <w:shd w:val="clear" w:color="auto" w:fill="FFFFFF"/>
          </w:tcPr>
          <w:p w:rsidR="00BE0861" w:rsidRDefault="00817237">
            <w:pPr>
              <w:widowControl w:val="0"/>
              <w:jc w:val="right"/>
              <w:rPr>
                <w:sz w:val="22"/>
              </w:rPr>
            </w:pPr>
            <w:r>
              <w:rPr>
                <w:b/>
                <w:bCs/>
                <w:sz w:val="22"/>
              </w:rPr>
              <w:t>Prekybos tarp salių narių sertifikatas</w:t>
            </w:r>
          </w:p>
        </w:tc>
      </w:tr>
      <w:tr w:rsidR="00BE0861">
        <w:trPr>
          <w:cantSplit/>
          <w:trHeight w:val="23"/>
        </w:trPr>
        <w:tc>
          <w:tcPr>
            <w:tcW w:w="358" w:type="dxa"/>
            <w:vMerge w:val="restart"/>
            <w:tcBorders>
              <w:top w:val="single" w:sz="6" w:space="0" w:color="auto"/>
              <w:left w:val="single" w:sz="6" w:space="0" w:color="auto"/>
              <w:right w:val="single" w:sz="6" w:space="0" w:color="auto"/>
            </w:tcBorders>
            <w:shd w:val="clear" w:color="auto" w:fill="FFFFFF"/>
            <w:textDirection w:val="btLr"/>
          </w:tcPr>
          <w:p w:rsidR="00BE0861" w:rsidRDefault="00817237">
            <w:pPr>
              <w:widowControl w:val="0"/>
              <w:jc w:val="center"/>
              <w:rPr>
                <w:sz w:val="22"/>
              </w:rPr>
            </w:pPr>
            <w:r>
              <w:rPr>
                <w:b/>
                <w:bCs/>
                <w:sz w:val="22"/>
              </w:rPr>
              <w:t>1 dalis: Duomenys  apie siuntą</w:t>
            </w:r>
          </w:p>
        </w:tc>
        <w:tc>
          <w:tcPr>
            <w:tcW w:w="4357" w:type="dxa"/>
            <w:gridSpan w:val="8"/>
            <w:tcBorders>
              <w:top w:val="single" w:sz="6" w:space="0" w:color="auto"/>
              <w:left w:val="single" w:sz="6" w:space="0" w:color="auto"/>
              <w:bottom w:val="nil"/>
              <w:right w:val="single" w:sz="6" w:space="0" w:color="auto"/>
            </w:tcBorders>
            <w:shd w:val="clear" w:color="auto" w:fill="FFFFFF"/>
          </w:tcPr>
          <w:p w:rsidR="00BE0861" w:rsidRDefault="00817237">
            <w:pPr>
              <w:widowControl w:val="0"/>
              <w:rPr>
                <w:sz w:val="22"/>
              </w:rPr>
            </w:pPr>
            <w:r>
              <w:rPr>
                <w:sz w:val="22"/>
              </w:rPr>
              <w:t xml:space="preserve">I.1. Siuntėjas </w:t>
            </w:r>
          </w:p>
          <w:p w:rsidR="00BE0861" w:rsidRDefault="00817237">
            <w:pPr>
              <w:widowControl w:val="0"/>
              <w:ind w:left="320"/>
              <w:rPr>
                <w:sz w:val="22"/>
              </w:rPr>
            </w:pPr>
            <w:r>
              <w:rPr>
                <w:sz w:val="22"/>
              </w:rPr>
              <w:t>Pavadinimas</w:t>
            </w:r>
          </w:p>
          <w:p w:rsidR="00BE0861" w:rsidRDefault="00BE0861">
            <w:pPr>
              <w:widowControl w:val="0"/>
              <w:rPr>
                <w:sz w:val="22"/>
              </w:rPr>
            </w:pPr>
          </w:p>
        </w:tc>
        <w:tc>
          <w:tcPr>
            <w:tcW w:w="1892" w:type="dxa"/>
            <w:gridSpan w:val="4"/>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I.2. Sertifikato numeris</w:t>
            </w:r>
          </w:p>
        </w:tc>
        <w:tc>
          <w:tcPr>
            <w:tcW w:w="2544" w:type="dxa"/>
            <w:gridSpan w:val="6"/>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I.2.a. Suteiktas vietinis sertifikato numeris</w:t>
            </w:r>
          </w:p>
        </w:tc>
      </w:tr>
      <w:tr w:rsidR="00BE0861">
        <w:trPr>
          <w:cantSplit/>
          <w:trHeight w:val="23"/>
        </w:trPr>
        <w:tc>
          <w:tcPr>
            <w:tcW w:w="358" w:type="dxa"/>
            <w:vMerge/>
            <w:tcBorders>
              <w:left w:val="single" w:sz="6" w:space="0" w:color="auto"/>
              <w:right w:val="single" w:sz="6" w:space="0" w:color="auto"/>
            </w:tcBorders>
            <w:shd w:val="clear" w:color="auto" w:fill="FFFFFF"/>
          </w:tcPr>
          <w:p w:rsidR="00BE0861" w:rsidRDefault="00BE0861">
            <w:pPr>
              <w:widowControl w:val="0"/>
              <w:rPr>
                <w:rFonts w:ascii="Arial" w:hAnsi="Arial" w:cs="Arial"/>
                <w:sz w:val="22"/>
              </w:rPr>
            </w:pPr>
          </w:p>
        </w:tc>
        <w:tc>
          <w:tcPr>
            <w:tcW w:w="4357" w:type="dxa"/>
            <w:gridSpan w:val="8"/>
            <w:tcBorders>
              <w:top w:val="nil"/>
              <w:left w:val="single" w:sz="6" w:space="0" w:color="auto"/>
              <w:bottom w:val="nil"/>
              <w:right w:val="single" w:sz="6" w:space="0" w:color="auto"/>
            </w:tcBorders>
            <w:shd w:val="clear" w:color="auto" w:fill="FFFFFF"/>
          </w:tcPr>
          <w:p w:rsidR="00BE0861" w:rsidRDefault="00BE0861">
            <w:pPr>
              <w:widowControl w:val="0"/>
              <w:rPr>
                <w:rFonts w:ascii="Arial" w:hAnsi="Arial" w:cs="Arial"/>
                <w:sz w:val="22"/>
              </w:rPr>
            </w:pPr>
          </w:p>
        </w:tc>
        <w:tc>
          <w:tcPr>
            <w:tcW w:w="4436" w:type="dxa"/>
            <w:gridSpan w:val="10"/>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rFonts w:ascii="Arial" w:hAnsi="Arial" w:cs="Arial"/>
                <w:sz w:val="22"/>
              </w:rPr>
            </w:pPr>
            <w:r>
              <w:rPr>
                <w:sz w:val="22"/>
              </w:rPr>
              <w:t>I.3. Centrinė kompetentinga institucija</w:t>
            </w:r>
          </w:p>
        </w:tc>
      </w:tr>
      <w:tr w:rsidR="00BE0861">
        <w:trPr>
          <w:cantSplit/>
          <w:trHeight w:val="23"/>
        </w:trPr>
        <w:tc>
          <w:tcPr>
            <w:tcW w:w="358" w:type="dxa"/>
            <w:vMerge/>
            <w:tcBorders>
              <w:left w:val="single" w:sz="6" w:space="0" w:color="auto"/>
              <w:right w:val="single" w:sz="6" w:space="0" w:color="auto"/>
            </w:tcBorders>
            <w:shd w:val="clear" w:color="auto" w:fill="FFFFFF"/>
          </w:tcPr>
          <w:p w:rsidR="00BE0861" w:rsidRDefault="00BE0861">
            <w:pPr>
              <w:widowControl w:val="0"/>
              <w:rPr>
                <w:sz w:val="22"/>
              </w:rPr>
            </w:pPr>
          </w:p>
        </w:tc>
        <w:tc>
          <w:tcPr>
            <w:tcW w:w="4357" w:type="dxa"/>
            <w:gridSpan w:val="8"/>
            <w:tcBorders>
              <w:top w:val="nil"/>
              <w:left w:val="single" w:sz="6" w:space="0" w:color="auto"/>
              <w:bottom w:val="single" w:sz="6" w:space="0" w:color="auto"/>
              <w:right w:val="single" w:sz="6" w:space="0" w:color="auto"/>
            </w:tcBorders>
            <w:shd w:val="clear" w:color="auto" w:fill="FFFFFF"/>
          </w:tcPr>
          <w:p w:rsidR="00BE0861" w:rsidRDefault="00817237">
            <w:pPr>
              <w:widowControl w:val="0"/>
              <w:ind w:left="320"/>
              <w:rPr>
                <w:sz w:val="22"/>
              </w:rPr>
            </w:pPr>
            <w:r>
              <w:rPr>
                <w:sz w:val="22"/>
              </w:rPr>
              <w:t xml:space="preserve">Adresas </w:t>
            </w:r>
          </w:p>
          <w:p w:rsidR="00BE0861" w:rsidRDefault="00817237">
            <w:pPr>
              <w:widowControl w:val="0"/>
              <w:ind w:left="320"/>
              <w:rPr>
                <w:sz w:val="22"/>
              </w:rPr>
            </w:pPr>
            <w:r>
              <w:rPr>
                <w:sz w:val="22"/>
              </w:rPr>
              <w:t>Pašto kodas</w:t>
            </w:r>
          </w:p>
        </w:tc>
        <w:tc>
          <w:tcPr>
            <w:tcW w:w="4436" w:type="dxa"/>
            <w:gridSpan w:val="10"/>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I.4. Vietinė kompetentinga institucija</w:t>
            </w:r>
          </w:p>
        </w:tc>
      </w:tr>
      <w:tr w:rsidR="00BE0861">
        <w:trPr>
          <w:cantSplit/>
          <w:trHeight w:val="23"/>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4357" w:type="dxa"/>
            <w:gridSpan w:val="8"/>
            <w:tcBorders>
              <w:top w:val="single" w:sz="6" w:space="0" w:color="auto"/>
              <w:left w:val="single" w:sz="6" w:space="0" w:color="auto"/>
              <w:bottom w:val="nil"/>
              <w:right w:val="single" w:sz="6" w:space="0" w:color="auto"/>
            </w:tcBorders>
            <w:shd w:val="clear" w:color="auto" w:fill="FFFFFF"/>
          </w:tcPr>
          <w:p w:rsidR="00BE0861" w:rsidRDefault="00817237">
            <w:pPr>
              <w:widowControl w:val="0"/>
              <w:rPr>
                <w:sz w:val="22"/>
              </w:rPr>
            </w:pPr>
            <w:r>
              <w:rPr>
                <w:sz w:val="22"/>
              </w:rPr>
              <w:t xml:space="preserve">I.5. Gavėjas </w:t>
            </w:r>
          </w:p>
          <w:p w:rsidR="00BE0861" w:rsidRDefault="00817237">
            <w:pPr>
              <w:widowControl w:val="0"/>
              <w:ind w:left="320"/>
              <w:rPr>
                <w:sz w:val="22"/>
              </w:rPr>
            </w:pPr>
            <w:r>
              <w:rPr>
                <w:sz w:val="22"/>
              </w:rPr>
              <w:t>Pavadinimas</w:t>
            </w:r>
          </w:p>
        </w:tc>
        <w:tc>
          <w:tcPr>
            <w:tcW w:w="4436" w:type="dxa"/>
            <w:gridSpan w:val="10"/>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I.6. Susijusių originalių sertifikatų numeriai Lydinčių dokumentų numeriai</w:t>
            </w:r>
          </w:p>
        </w:tc>
      </w:tr>
      <w:tr w:rsidR="00BE0861">
        <w:trPr>
          <w:cantSplit/>
          <w:trHeight w:val="23"/>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rFonts w:ascii="Arial" w:hAnsi="Arial" w:cs="Arial"/>
                <w:sz w:val="22"/>
              </w:rPr>
            </w:pPr>
          </w:p>
        </w:tc>
        <w:tc>
          <w:tcPr>
            <w:tcW w:w="4357" w:type="dxa"/>
            <w:gridSpan w:val="8"/>
            <w:tcBorders>
              <w:top w:val="nil"/>
              <w:left w:val="single" w:sz="6" w:space="0" w:color="auto"/>
              <w:bottom w:val="single" w:sz="6" w:space="0" w:color="auto"/>
              <w:right w:val="single" w:sz="6" w:space="0" w:color="auto"/>
            </w:tcBorders>
            <w:shd w:val="clear" w:color="auto" w:fill="FFFFFF"/>
          </w:tcPr>
          <w:p w:rsidR="00BE0861" w:rsidRDefault="00817237">
            <w:pPr>
              <w:widowControl w:val="0"/>
              <w:ind w:left="320"/>
              <w:rPr>
                <w:sz w:val="22"/>
              </w:rPr>
            </w:pPr>
            <w:r>
              <w:rPr>
                <w:sz w:val="22"/>
              </w:rPr>
              <w:t xml:space="preserve">Adresas </w:t>
            </w:r>
          </w:p>
          <w:p w:rsidR="00BE0861" w:rsidRDefault="00817237">
            <w:pPr>
              <w:widowControl w:val="0"/>
              <w:ind w:left="320"/>
              <w:rPr>
                <w:rFonts w:ascii="Arial" w:hAnsi="Arial" w:cs="Arial"/>
                <w:sz w:val="22"/>
              </w:rPr>
            </w:pPr>
            <w:r>
              <w:rPr>
                <w:sz w:val="22"/>
              </w:rPr>
              <w:t>Pašto kodas</w:t>
            </w:r>
          </w:p>
        </w:tc>
        <w:tc>
          <w:tcPr>
            <w:tcW w:w="4436" w:type="dxa"/>
            <w:gridSpan w:val="10"/>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BE0861" w:rsidRDefault="00817237">
            <w:pPr>
              <w:widowControl w:val="0"/>
              <w:rPr>
                <w:sz w:val="22"/>
              </w:rPr>
            </w:pPr>
            <w:r>
              <w:rPr>
                <w:sz w:val="22"/>
              </w:rPr>
              <w:t>I.7.</w:t>
            </w:r>
          </w:p>
        </w:tc>
      </w:tr>
      <w:tr w:rsidR="00BE0861">
        <w:trPr>
          <w:cantSplit/>
          <w:trHeight w:val="23"/>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1490" w:type="dxa"/>
            <w:gridSpan w:val="2"/>
            <w:tcBorders>
              <w:top w:val="single" w:sz="6" w:space="0" w:color="auto"/>
              <w:left w:val="single" w:sz="6" w:space="0" w:color="auto"/>
            </w:tcBorders>
            <w:shd w:val="clear" w:color="auto" w:fill="FFFFFF"/>
          </w:tcPr>
          <w:p w:rsidR="00BE0861" w:rsidRDefault="00817237">
            <w:pPr>
              <w:widowControl w:val="0"/>
              <w:rPr>
                <w:sz w:val="22"/>
              </w:rPr>
            </w:pPr>
            <w:r>
              <w:rPr>
                <w:sz w:val="22"/>
              </w:rPr>
              <w:t>I.8. Kilmės šalis</w:t>
            </w:r>
          </w:p>
        </w:tc>
        <w:tc>
          <w:tcPr>
            <w:tcW w:w="716" w:type="dxa"/>
            <w:gridSpan w:val="3"/>
            <w:tcBorders>
              <w:top w:val="single" w:sz="6" w:space="0" w:color="auto"/>
            </w:tcBorders>
            <w:shd w:val="clear" w:color="auto" w:fill="FFFFFF"/>
          </w:tcPr>
          <w:p w:rsidR="00BE0861" w:rsidRDefault="00817237">
            <w:pPr>
              <w:widowControl w:val="0"/>
              <w:rPr>
                <w:sz w:val="22"/>
              </w:rPr>
            </w:pPr>
            <w:r>
              <w:rPr>
                <w:sz w:val="22"/>
              </w:rPr>
              <w:t>ISO kodas</w:t>
            </w:r>
          </w:p>
        </w:tc>
        <w:tc>
          <w:tcPr>
            <w:tcW w:w="1504" w:type="dxa"/>
            <w:gridSpan w:val="2"/>
            <w:tcBorders>
              <w:top w:val="single" w:sz="6" w:space="0" w:color="auto"/>
            </w:tcBorders>
            <w:shd w:val="clear" w:color="auto" w:fill="FFFFFF"/>
          </w:tcPr>
          <w:p w:rsidR="00BE0861" w:rsidRDefault="00817237">
            <w:pPr>
              <w:widowControl w:val="0"/>
              <w:rPr>
                <w:sz w:val="22"/>
              </w:rPr>
            </w:pPr>
            <w:r>
              <w:rPr>
                <w:sz w:val="22"/>
              </w:rPr>
              <w:t>I.9. Kilmės regionas</w:t>
            </w:r>
          </w:p>
        </w:tc>
        <w:tc>
          <w:tcPr>
            <w:tcW w:w="647" w:type="dxa"/>
            <w:tcBorders>
              <w:top w:val="single" w:sz="6" w:space="0" w:color="auto"/>
              <w:right w:val="single" w:sz="6" w:space="0" w:color="auto"/>
            </w:tcBorders>
            <w:shd w:val="clear" w:color="auto" w:fill="FFFFFF"/>
          </w:tcPr>
          <w:p w:rsidR="00BE0861" w:rsidRDefault="00817237">
            <w:pPr>
              <w:widowControl w:val="0"/>
              <w:rPr>
                <w:sz w:val="22"/>
              </w:rPr>
            </w:pPr>
            <w:r>
              <w:rPr>
                <w:sz w:val="22"/>
              </w:rPr>
              <w:t>Kodas</w:t>
            </w:r>
          </w:p>
        </w:tc>
        <w:tc>
          <w:tcPr>
            <w:tcW w:w="1434" w:type="dxa"/>
            <w:gridSpan w:val="2"/>
            <w:tcBorders>
              <w:top w:val="single" w:sz="6" w:space="0" w:color="auto"/>
              <w:left w:val="single" w:sz="6" w:space="0" w:color="auto"/>
            </w:tcBorders>
            <w:shd w:val="clear" w:color="auto" w:fill="FFFFFF"/>
          </w:tcPr>
          <w:p w:rsidR="00BE0861" w:rsidRDefault="00817237">
            <w:pPr>
              <w:widowControl w:val="0"/>
              <w:rPr>
                <w:sz w:val="22"/>
              </w:rPr>
            </w:pPr>
            <w:r>
              <w:rPr>
                <w:bCs/>
                <w:sz w:val="22"/>
              </w:rPr>
              <w:t xml:space="preserve">I.10. </w:t>
            </w:r>
            <w:r>
              <w:rPr>
                <w:sz w:val="22"/>
              </w:rPr>
              <w:t>Paskirties šalis</w:t>
            </w:r>
          </w:p>
        </w:tc>
        <w:tc>
          <w:tcPr>
            <w:tcW w:w="781" w:type="dxa"/>
            <w:gridSpan w:val="4"/>
            <w:tcBorders>
              <w:top w:val="single" w:sz="6" w:space="0" w:color="auto"/>
            </w:tcBorders>
            <w:shd w:val="clear" w:color="auto" w:fill="FFFFFF"/>
          </w:tcPr>
          <w:p w:rsidR="00BE0861" w:rsidRDefault="00817237">
            <w:pPr>
              <w:widowControl w:val="0"/>
              <w:rPr>
                <w:sz w:val="22"/>
              </w:rPr>
            </w:pPr>
            <w:r>
              <w:rPr>
                <w:sz w:val="22"/>
              </w:rPr>
              <w:t>ISO kodas</w:t>
            </w:r>
          </w:p>
        </w:tc>
        <w:tc>
          <w:tcPr>
            <w:tcW w:w="1468" w:type="dxa"/>
            <w:gridSpan w:val="3"/>
            <w:tcBorders>
              <w:top w:val="single" w:sz="6" w:space="0" w:color="auto"/>
            </w:tcBorders>
            <w:shd w:val="clear" w:color="auto" w:fill="FFFFFF"/>
          </w:tcPr>
          <w:p w:rsidR="00BE0861" w:rsidRDefault="00817237">
            <w:pPr>
              <w:widowControl w:val="0"/>
              <w:rPr>
                <w:sz w:val="22"/>
              </w:rPr>
            </w:pPr>
            <w:r>
              <w:rPr>
                <w:bCs/>
                <w:sz w:val="22"/>
              </w:rPr>
              <w:t xml:space="preserve">I.11. </w:t>
            </w:r>
            <w:r>
              <w:rPr>
                <w:sz w:val="22"/>
              </w:rPr>
              <w:t>Paskirties regionas</w:t>
            </w:r>
          </w:p>
        </w:tc>
        <w:tc>
          <w:tcPr>
            <w:tcW w:w="753" w:type="dxa"/>
            <w:tcBorders>
              <w:top w:val="single" w:sz="6" w:space="0" w:color="auto"/>
              <w:right w:val="single" w:sz="6" w:space="0" w:color="auto"/>
            </w:tcBorders>
            <w:shd w:val="clear" w:color="auto" w:fill="FFFFFF"/>
          </w:tcPr>
          <w:p w:rsidR="00BE0861" w:rsidRDefault="00817237">
            <w:pPr>
              <w:widowControl w:val="0"/>
              <w:rPr>
                <w:sz w:val="22"/>
              </w:rPr>
            </w:pPr>
            <w:r>
              <w:rPr>
                <w:sz w:val="22"/>
              </w:rPr>
              <w:t>Kodas</w:t>
            </w:r>
          </w:p>
        </w:tc>
      </w:tr>
      <w:tr w:rsidR="00BE0861">
        <w:trPr>
          <w:cantSplit/>
          <w:trHeight w:val="23"/>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1490" w:type="dxa"/>
            <w:gridSpan w:val="2"/>
            <w:tcBorders>
              <w:left w:val="single" w:sz="6" w:space="0" w:color="auto"/>
              <w:bottom w:val="single" w:sz="6" w:space="0" w:color="auto"/>
              <w:right w:val="single" w:sz="4" w:space="0" w:color="auto"/>
            </w:tcBorders>
            <w:shd w:val="clear" w:color="auto" w:fill="FFFFFF"/>
          </w:tcPr>
          <w:p w:rsidR="00BE0861" w:rsidRDefault="00BE0861">
            <w:pPr>
              <w:widowControl w:val="0"/>
              <w:rPr>
                <w:sz w:val="22"/>
              </w:rPr>
            </w:pPr>
          </w:p>
        </w:tc>
        <w:tc>
          <w:tcPr>
            <w:tcW w:w="716" w:type="dxa"/>
            <w:gridSpan w:val="3"/>
            <w:tcBorders>
              <w:left w:val="single" w:sz="4" w:space="0" w:color="auto"/>
              <w:bottom w:val="single" w:sz="6" w:space="0" w:color="auto"/>
              <w:right w:val="single" w:sz="4" w:space="0" w:color="auto"/>
            </w:tcBorders>
            <w:shd w:val="clear" w:color="auto" w:fill="FFFFFF"/>
          </w:tcPr>
          <w:p w:rsidR="00BE0861" w:rsidRDefault="00BE0861">
            <w:pPr>
              <w:widowControl w:val="0"/>
              <w:rPr>
                <w:sz w:val="22"/>
              </w:rPr>
            </w:pPr>
          </w:p>
        </w:tc>
        <w:tc>
          <w:tcPr>
            <w:tcW w:w="1504" w:type="dxa"/>
            <w:gridSpan w:val="2"/>
            <w:tcBorders>
              <w:left w:val="single" w:sz="4" w:space="0" w:color="auto"/>
              <w:bottom w:val="single" w:sz="6" w:space="0" w:color="auto"/>
              <w:right w:val="single" w:sz="4" w:space="0" w:color="auto"/>
            </w:tcBorders>
            <w:shd w:val="clear" w:color="auto" w:fill="FFFFFF"/>
          </w:tcPr>
          <w:p w:rsidR="00BE0861" w:rsidRDefault="00BE0861">
            <w:pPr>
              <w:widowControl w:val="0"/>
              <w:rPr>
                <w:sz w:val="22"/>
              </w:rPr>
            </w:pPr>
          </w:p>
        </w:tc>
        <w:tc>
          <w:tcPr>
            <w:tcW w:w="647" w:type="dxa"/>
            <w:tcBorders>
              <w:left w:val="single" w:sz="4" w:space="0" w:color="auto"/>
              <w:bottom w:val="single" w:sz="6" w:space="0" w:color="auto"/>
              <w:right w:val="single" w:sz="4" w:space="0" w:color="auto"/>
            </w:tcBorders>
            <w:shd w:val="clear" w:color="auto" w:fill="FFFFFF"/>
          </w:tcPr>
          <w:p w:rsidR="00BE0861" w:rsidRDefault="00BE0861">
            <w:pPr>
              <w:widowControl w:val="0"/>
              <w:rPr>
                <w:sz w:val="22"/>
              </w:rPr>
            </w:pPr>
          </w:p>
        </w:tc>
        <w:tc>
          <w:tcPr>
            <w:tcW w:w="1434" w:type="dxa"/>
            <w:gridSpan w:val="2"/>
            <w:tcBorders>
              <w:left w:val="single" w:sz="4" w:space="0" w:color="auto"/>
              <w:bottom w:val="single" w:sz="6" w:space="0" w:color="auto"/>
              <w:right w:val="single" w:sz="4" w:space="0" w:color="auto"/>
            </w:tcBorders>
            <w:shd w:val="clear" w:color="auto" w:fill="FFFFFF"/>
          </w:tcPr>
          <w:p w:rsidR="00BE0861" w:rsidRDefault="00BE0861">
            <w:pPr>
              <w:widowControl w:val="0"/>
              <w:rPr>
                <w:sz w:val="22"/>
              </w:rPr>
            </w:pPr>
          </w:p>
        </w:tc>
        <w:tc>
          <w:tcPr>
            <w:tcW w:w="781" w:type="dxa"/>
            <w:gridSpan w:val="4"/>
            <w:tcBorders>
              <w:left w:val="single" w:sz="4" w:space="0" w:color="auto"/>
              <w:bottom w:val="single" w:sz="6" w:space="0" w:color="auto"/>
              <w:right w:val="single" w:sz="4" w:space="0" w:color="auto"/>
            </w:tcBorders>
            <w:shd w:val="clear" w:color="auto" w:fill="FFFFFF"/>
          </w:tcPr>
          <w:p w:rsidR="00BE0861" w:rsidRDefault="00BE0861">
            <w:pPr>
              <w:widowControl w:val="0"/>
              <w:rPr>
                <w:sz w:val="22"/>
              </w:rPr>
            </w:pPr>
          </w:p>
        </w:tc>
        <w:tc>
          <w:tcPr>
            <w:tcW w:w="1468" w:type="dxa"/>
            <w:gridSpan w:val="3"/>
            <w:tcBorders>
              <w:left w:val="single" w:sz="4" w:space="0" w:color="auto"/>
              <w:bottom w:val="single" w:sz="6" w:space="0" w:color="auto"/>
              <w:right w:val="single" w:sz="4" w:space="0" w:color="auto"/>
            </w:tcBorders>
            <w:shd w:val="clear" w:color="auto" w:fill="FFFFFF"/>
          </w:tcPr>
          <w:p w:rsidR="00BE0861" w:rsidRDefault="00BE0861">
            <w:pPr>
              <w:widowControl w:val="0"/>
              <w:rPr>
                <w:sz w:val="22"/>
              </w:rPr>
            </w:pPr>
          </w:p>
        </w:tc>
        <w:tc>
          <w:tcPr>
            <w:tcW w:w="753" w:type="dxa"/>
            <w:tcBorders>
              <w:left w:val="single" w:sz="4" w:space="0" w:color="auto"/>
              <w:bottom w:val="single" w:sz="6" w:space="0" w:color="auto"/>
              <w:right w:val="single" w:sz="6" w:space="0" w:color="auto"/>
            </w:tcBorders>
            <w:shd w:val="clear" w:color="auto" w:fill="FFFFFF"/>
          </w:tcPr>
          <w:p w:rsidR="00BE0861" w:rsidRDefault="00BE0861">
            <w:pPr>
              <w:widowControl w:val="0"/>
              <w:rPr>
                <w:sz w:val="22"/>
              </w:rPr>
            </w:pPr>
          </w:p>
        </w:tc>
      </w:tr>
      <w:tr w:rsidR="00BE0861">
        <w:trPr>
          <w:cantSplit/>
          <w:trHeight w:val="150"/>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4357" w:type="dxa"/>
            <w:gridSpan w:val="8"/>
            <w:tcBorders>
              <w:top w:val="single" w:sz="6" w:space="0" w:color="auto"/>
              <w:left w:val="single" w:sz="6" w:space="0" w:color="auto"/>
              <w:right w:val="single" w:sz="6" w:space="0" w:color="auto"/>
            </w:tcBorders>
            <w:shd w:val="clear" w:color="auto" w:fill="FFFFFF"/>
          </w:tcPr>
          <w:p w:rsidR="00BE0861" w:rsidRDefault="00817237">
            <w:pPr>
              <w:widowControl w:val="0"/>
              <w:rPr>
                <w:sz w:val="22"/>
              </w:rPr>
            </w:pPr>
            <w:r>
              <w:rPr>
                <w:sz w:val="22"/>
              </w:rPr>
              <w:t xml:space="preserve">I.12. Siuntos kilmės adresas </w:t>
            </w:r>
          </w:p>
        </w:tc>
        <w:tc>
          <w:tcPr>
            <w:tcW w:w="4436" w:type="dxa"/>
            <w:gridSpan w:val="10"/>
            <w:tcBorders>
              <w:top w:val="single" w:sz="6" w:space="0" w:color="auto"/>
              <w:left w:val="single" w:sz="6" w:space="0" w:color="auto"/>
              <w:right w:val="single" w:sz="6" w:space="0" w:color="auto"/>
            </w:tcBorders>
            <w:shd w:val="clear" w:color="auto" w:fill="FFFFFF"/>
          </w:tcPr>
          <w:p w:rsidR="00BE0861" w:rsidRDefault="00817237">
            <w:pPr>
              <w:widowControl w:val="0"/>
              <w:rPr>
                <w:sz w:val="22"/>
              </w:rPr>
            </w:pPr>
            <w:r>
              <w:rPr>
                <w:bCs/>
                <w:sz w:val="22"/>
              </w:rPr>
              <w:t>I.13.</w:t>
            </w:r>
            <w:r>
              <w:rPr>
                <w:b/>
                <w:bCs/>
                <w:sz w:val="22"/>
              </w:rPr>
              <w:t xml:space="preserve"> </w:t>
            </w:r>
            <w:r>
              <w:rPr>
                <w:sz w:val="22"/>
              </w:rPr>
              <w:t>Paskirties adresas</w:t>
            </w:r>
          </w:p>
        </w:tc>
      </w:tr>
      <w:tr w:rsidR="00BE0861">
        <w:trPr>
          <w:cantSplit/>
          <w:trHeight w:val="132"/>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1451" w:type="dxa"/>
            <w:tcBorders>
              <w:left w:val="single" w:sz="6" w:space="0" w:color="auto"/>
            </w:tcBorders>
            <w:shd w:val="clear" w:color="auto" w:fill="FFFFFF"/>
          </w:tcPr>
          <w:p w:rsidR="00BE0861" w:rsidRDefault="00817237">
            <w:pPr>
              <w:widowControl w:val="0"/>
              <w:rPr>
                <w:sz w:val="22"/>
              </w:rPr>
            </w:pPr>
            <w:r>
              <w:rPr>
                <w:sz w:val="22"/>
              </w:rPr>
              <w:t xml:space="preserve">Laikymo </w:t>
            </w:r>
            <w:r>
              <w:rPr>
                <w:sz w:val="22"/>
              </w:rPr>
              <w:br/>
              <w:t xml:space="preserve">vieta </w:t>
            </w:r>
            <w:r>
              <w:rPr>
                <w:sz w:val="22"/>
              </w:rPr>
              <w:sym w:font="Wingdings 2" w:char="F0A3"/>
            </w:r>
            <w:r>
              <w:rPr>
                <w:vanish/>
                <w:sz w:val="22"/>
              </w:rPr>
              <w:t>[]</w:t>
            </w:r>
            <w:r>
              <w:rPr>
                <w:sz w:val="22"/>
              </w:rPr>
              <w:t xml:space="preserve"> </w:t>
            </w:r>
          </w:p>
        </w:tc>
        <w:tc>
          <w:tcPr>
            <w:tcW w:w="1551" w:type="dxa"/>
            <w:gridSpan w:val="5"/>
            <w:shd w:val="clear" w:color="auto" w:fill="FFFFFF"/>
          </w:tcPr>
          <w:p w:rsidR="00BE0861" w:rsidRDefault="00817237">
            <w:pPr>
              <w:widowControl w:val="0"/>
              <w:rPr>
                <w:sz w:val="22"/>
              </w:rPr>
            </w:pPr>
            <w:r>
              <w:rPr>
                <w:sz w:val="22"/>
              </w:rPr>
              <w:t xml:space="preserve">Surinkimo centras </w:t>
            </w:r>
            <w:r>
              <w:rPr>
                <w:sz w:val="22"/>
              </w:rPr>
              <w:sym w:font="Wingdings 2" w:char="F0A3"/>
            </w:r>
            <w:r>
              <w:rPr>
                <w:vanish/>
                <w:sz w:val="22"/>
              </w:rPr>
              <w:t>[]</w:t>
            </w:r>
          </w:p>
        </w:tc>
        <w:tc>
          <w:tcPr>
            <w:tcW w:w="1355" w:type="dxa"/>
            <w:gridSpan w:val="2"/>
            <w:tcBorders>
              <w:right w:val="single" w:sz="6" w:space="0" w:color="auto"/>
            </w:tcBorders>
            <w:shd w:val="clear" w:color="auto" w:fill="FFFFFF"/>
          </w:tcPr>
          <w:p w:rsidR="00BE0861" w:rsidRDefault="00817237">
            <w:pPr>
              <w:widowControl w:val="0"/>
              <w:rPr>
                <w:sz w:val="22"/>
              </w:rPr>
            </w:pPr>
            <w:r>
              <w:rPr>
                <w:sz w:val="22"/>
              </w:rPr>
              <w:t xml:space="preserve">Kiti </w:t>
            </w:r>
            <w:r>
              <w:rPr>
                <w:sz w:val="22"/>
              </w:rPr>
              <w:sym w:font="Wingdings 2" w:char="F0A3"/>
            </w:r>
            <w:r>
              <w:rPr>
                <w:vanish/>
                <w:sz w:val="22"/>
              </w:rPr>
              <w:t>[]</w:t>
            </w:r>
          </w:p>
        </w:tc>
        <w:tc>
          <w:tcPr>
            <w:tcW w:w="1478" w:type="dxa"/>
            <w:gridSpan w:val="3"/>
            <w:tcBorders>
              <w:left w:val="single" w:sz="6" w:space="0" w:color="auto"/>
            </w:tcBorders>
            <w:shd w:val="clear" w:color="auto" w:fill="FFFFFF"/>
          </w:tcPr>
          <w:p w:rsidR="00BE0861" w:rsidRDefault="00817237">
            <w:pPr>
              <w:widowControl w:val="0"/>
              <w:rPr>
                <w:b/>
                <w:bCs/>
                <w:sz w:val="22"/>
              </w:rPr>
            </w:pPr>
            <w:r>
              <w:rPr>
                <w:sz w:val="22"/>
              </w:rPr>
              <w:t xml:space="preserve">Laikymo </w:t>
            </w:r>
            <w:r>
              <w:rPr>
                <w:sz w:val="22"/>
              </w:rPr>
              <w:br/>
              <w:t xml:space="preserve">vieta </w:t>
            </w:r>
            <w:r>
              <w:rPr>
                <w:sz w:val="22"/>
              </w:rPr>
              <w:sym w:font="Wingdings 2" w:char="F0A3"/>
            </w:r>
            <w:r>
              <w:rPr>
                <w:vanish/>
                <w:sz w:val="22"/>
              </w:rPr>
              <w:t>[]</w:t>
            </w:r>
          </w:p>
        </w:tc>
        <w:tc>
          <w:tcPr>
            <w:tcW w:w="1478" w:type="dxa"/>
            <w:gridSpan w:val="5"/>
            <w:shd w:val="clear" w:color="auto" w:fill="FFFFFF"/>
          </w:tcPr>
          <w:p w:rsidR="00BE0861" w:rsidRDefault="00817237">
            <w:pPr>
              <w:widowControl w:val="0"/>
              <w:rPr>
                <w:b/>
                <w:bCs/>
                <w:sz w:val="22"/>
              </w:rPr>
            </w:pPr>
            <w:r>
              <w:rPr>
                <w:sz w:val="22"/>
              </w:rPr>
              <w:t xml:space="preserve">Surinkimo centras </w:t>
            </w:r>
            <w:r>
              <w:rPr>
                <w:sz w:val="22"/>
              </w:rPr>
              <w:sym w:font="Wingdings 2" w:char="F0A3"/>
            </w:r>
            <w:r>
              <w:rPr>
                <w:vanish/>
                <w:sz w:val="22"/>
              </w:rPr>
              <w:t>[]</w:t>
            </w:r>
          </w:p>
        </w:tc>
        <w:tc>
          <w:tcPr>
            <w:tcW w:w="1480" w:type="dxa"/>
            <w:gridSpan w:val="2"/>
            <w:tcBorders>
              <w:right w:val="single" w:sz="6" w:space="0" w:color="auto"/>
            </w:tcBorders>
            <w:shd w:val="clear" w:color="auto" w:fill="FFFFFF"/>
          </w:tcPr>
          <w:p w:rsidR="00BE0861" w:rsidRDefault="00817237">
            <w:pPr>
              <w:widowControl w:val="0"/>
              <w:jc w:val="right"/>
              <w:rPr>
                <w:sz w:val="22"/>
              </w:rPr>
            </w:pPr>
            <w:r>
              <w:rPr>
                <w:sz w:val="22"/>
              </w:rPr>
              <w:t xml:space="preserve">Įmonė </w:t>
            </w:r>
            <w:r>
              <w:rPr>
                <w:sz w:val="22"/>
              </w:rPr>
              <w:sym w:font="Wingdings 2" w:char="F0A3"/>
            </w:r>
            <w:r>
              <w:rPr>
                <w:vanish/>
                <w:sz w:val="22"/>
              </w:rPr>
              <w:t>[]</w:t>
            </w:r>
          </w:p>
          <w:p w:rsidR="00BE0861" w:rsidRDefault="00817237">
            <w:pPr>
              <w:widowControl w:val="0"/>
              <w:jc w:val="right"/>
              <w:rPr>
                <w:b/>
                <w:bCs/>
                <w:sz w:val="22"/>
              </w:rPr>
            </w:pPr>
            <w:r>
              <w:rPr>
                <w:sz w:val="22"/>
              </w:rPr>
              <w:t xml:space="preserve">Kiti </w:t>
            </w:r>
            <w:r>
              <w:rPr>
                <w:sz w:val="22"/>
              </w:rPr>
              <w:sym w:font="Wingdings 2" w:char="F0A3"/>
            </w:r>
            <w:r>
              <w:rPr>
                <w:vanish/>
                <w:sz w:val="22"/>
              </w:rPr>
              <w:t>[]</w:t>
            </w:r>
          </w:p>
        </w:tc>
      </w:tr>
      <w:tr w:rsidR="00BE0861">
        <w:trPr>
          <w:cantSplit/>
          <w:trHeight w:val="495"/>
        </w:trPr>
        <w:tc>
          <w:tcPr>
            <w:tcW w:w="358"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2176" w:type="dxa"/>
            <w:gridSpan w:val="4"/>
            <w:tcBorders>
              <w:left w:val="single" w:sz="6" w:space="0" w:color="auto"/>
              <w:bottom w:val="single" w:sz="6" w:space="0" w:color="auto"/>
            </w:tcBorders>
            <w:shd w:val="clear" w:color="auto" w:fill="FFFFFF"/>
          </w:tcPr>
          <w:p w:rsidR="00BE0861" w:rsidRDefault="00817237">
            <w:pPr>
              <w:widowControl w:val="0"/>
              <w:rPr>
                <w:sz w:val="22"/>
              </w:rPr>
            </w:pPr>
            <w:r>
              <w:rPr>
                <w:sz w:val="22"/>
              </w:rPr>
              <w:t xml:space="preserve">Pavadinimas </w:t>
            </w:r>
          </w:p>
          <w:p w:rsidR="00BE0861" w:rsidRDefault="00817237">
            <w:pPr>
              <w:widowControl w:val="0"/>
              <w:rPr>
                <w:sz w:val="22"/>
              </w:rPr>
            </w:pPr>
            <w:r>
              <w:rPr>
                <w:sz w:val="22"/>
              </w:rPr>
              <w:t>Adresas</w:t>
            </w:r>
          </w:p>
          <w:p w:rsidR="00BE0861" w:rsidRDefault="00BE0861">
            <w:pPr>
              <w:widowControl w:val="0"/>
              <w:rPr>
                <w:sz w:val="22"/>
              </w:rPr>
            </w:pPr>
          </w:p>
          <w:p w:rsidR="00BE0861" w:rsidRDefault="00817237">
            <w:pPr>
              <w:widowControl w:val="0"/>
              <w:rPr>
                <w:sz w:val="22"/>
              </w:rPr>
            </w:pPr>
            <w:r>
              <w:rPr>
                <w:sz w:val="22"/>
              </w:rPr>
              <w:t>Pašto kodas</w:t>
            </w:r>
          </w:p>
        </w:tc>
        <w:tc>
          <w:tcPr>
            <w:tcW w:w="2181" w:type="dxa"/>
            <w:gridSpan w:val="4"/>
            <w:tcBorders>
              <w:bottom w:val="single" w:sz="6" w:space="0" w:color="auto"/>
              <w:right w:val="single" w:sz="6" w:space="0" w:color="auto"/>
            </w:tcBorders>
            <w:shd w:val="clear" w:color="auto" w:fill="FFFFFF"/>
          </w:tcPr>
          <w:p w:rsidR="00BE0861" w:rsidRDefault="00817237">
            <w:pPr>
              <w:widowControl w:val="0"/>
              <w:rPr>
                <w:sz w:val="22"/>
              </w:rPr>
            </w:pPr>
            <w:r>
              <w:rPr>
                <w:sz w:val="22"/>
              </w:rPr>
              <w:t>Patvirtinimo numeris</w:t>
            </w:r>
          </w:p>
        </w:tc>
        <w:tc>
          <w:tcPr>
            <w:tcW w:w="2215" w:type="dxa"/>
            <w:gridSpan w:val="6"/>
            <w:tcBorders>
              <w:left w:val="single" w:sz="6" w:space="0" w:color="auto"/>
              <w:bottom w:val="single" w:sz="6" w:space="0" w:color="auto"/>
            </w:tcBorders>
            <w:shd w:val="clear" w:color="auto" w:fill="FFFFFF"/>
          </w:tcPr>
          <w:p w:rsidR="00BE0861" w:rsidRDefault="00817237">
            <w:pPr>
              <w:widowControl w:val="0"/>
              <w:rPr>
                <w:sz w:val="22"/>
              </w:rPr>
            </w:pPr>
            <w:r>
              <w:rPr>
                <w:sz w:val="22"/>
              </w:rPr>
              <w:t xml:space="preserve">Pavadinimas </w:t>
            </w:r>
          </w:p>
          <w:p w:rsidR="00BE0861" w:rsidRDefault="00817237">
            <w:pPr>
              <w:widowControl w:val="0"/>
              <w:rPr>
                <w:sz w:val="22"/>
              </w:rPr>
            </w:pPr>
            <w:r>
              <w:rPr>
                <w:sz w:val="22"/>
              </w:rPr>
              <w:t>Adresas</w:t>
            </w:r>
          </w:p>
          <w:p w:rsidR="00BE0861" w:rsidRDefault="00BE0861">
            <w:pPr>
              <w:widowControl w:val="0"/>
              <w:rPr>
                <w:sz w:val="22"/>
              </w:rPr>
            </w:pPr>
          </w:p>
          <w:p w:rsidR="00BE0861" w:rsidRDefault="00817237">
            <w:pPr>
              <w:widowControl w:val="0"/>
              <w:rPr>
                <w:b/>
                <w:bCs/>
                <w:sz w:val="22"/>
              </w:rPr>
            </w:pPr>
            <w:r>
              <w:rPr>
                <w:sz w:val="22"/>
              </w:rPr>
              <w:t>Pašto kodas</w:t>
            </w:r>
          </w:p>
        </w:tc>
        <w:tc>
          <w:tcPr>
            <w:tcW w:w="2221" w:type="dxa"/>
            <w:gridSpan w:val="4"/>
            <w:tcBorders>
              <w:bottom w:val="single" w:sz="6" w:space="0" w:color="auto"/>
              <w:right w:val="single" w:sz="6" w:space="0" w:color="auto"/>
            </w:tcBorders>
            <w:shd w:val="clear" w:color="auto" w:fill="FFFFFF"/>
          </w:tcPr>
          <w:p w:rsidR="00BE0861" w:rsidRDefault="00817237">
            <w:pPr>
              <w:widowControl w:val="0"/>
              <w:rPr>
                <w:b/>
                <w:bCs/>
                <w:sz w:val="22"/>
              </w:rPr>
            </w:pPr>
            <w:r>
              <w:rPr>
                <w:sz w:val="22"/>
              </w:rPr>
              <w:t>Patvirtinimo numeris</w:t>
            </w:r>
          </w:p>
        </w:tc>
      </w:tr>
      <w:tr w:rsidR="00BE0861">
        <w:trPr>
          <w:cantSplit/>
          <w:trHeight w:val="23"/>
        </w:trPr>
        <w:tc>
          <w:tcPr>
            <w:tcW w:w="358" w:type="dxa"/>
            <w:vMerge/>
            <w:tcBorders>
              <w:left w:val="single" w:sz="6" w:space="0" w:color="auto"/>
              <w:bottom w:val="single" w:sz="6" w:space="0" w:color="auto"/>
              <w:right w:val="single" w:sz="6" w:space="0" w:color="auto"/>
            </w:tcBorders>
            <w:shd w:val="clear" w:color="auto" w:fill="FFFFFF"/>
          </w:tcPr>
          <w:p w:rsidR="00BE0861" w:rsidRDefault="00BE0861">
            <w:pPr>
              <w:widowControl w:val="0"/>
              <w:rPr>
                <w:sz w:val="22"/>
              </w:rPr>
            </w:pPr>
          </w:p>
        </w:tc>
        <w:tc>
          <w:tcPr>
            <w:tcW w:w="4357" w:type="dxa"/>
            <w:gridSpan w:val="8"/>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 xml:space="preserve">I.14. Pakrovimo vieta </w:t>
            </w:r>
          </w:p>
          <w:p w:rsidR="00BE0861" w:rsidRDefault="00817237">
            <w:pPr>
              <w:widowControl w:val="0"/>
              <w:ind w:left="441"/>
              <w:rPr>
                <w:sz w:val="22"/>
              </w:rPr>
            </w:pPr>
            <w:r>
              <w:rPr>
                <w:sz w:val="22"/>
              </w:rPr>
              <w:t>Pašto kodas</w:t>
            </w:r>
          </w:p>
        </w:tc>
        <w:tc>
          <w:tcPr>
            <w:tcW w:w="4436" w:type="dxa"/>
            <w:gridSpan w:val="10"/>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I.15. Išvykimo data ir laikas</w:t>
            </w:r>
          </w:p>
        </w:tc>
      </w:tr>
      <w:tr w:rsidR="00BE0861">
        <w:trPr>
          <w:cantSplit/>
          <w:trHeight w:val="240"/>
        </w:trPr>
        <w:tc>
          <w:tcPr>
            <w:tcW w:w="358" w:type="dxa"/>
            <w:vMerge w:val="restart"/>
            <w:tcBorders>
              <w:top w:val="single" w:sz="6" w:space="0" w:color="auto"/>
              <w:left w:val="nil"/>
              <w:right w:val="single" w:sz="6" w:space="0" w:color="auto"/>
            </w:tcBorders>
            <w:shd w:val="clear" w:color="auto" w:fill="FFFFFF"/>
          </w:tcPr>
          <w:p w:rsidR="00BE0861" w:rsidRDefault="00BE0861">
            <w:pPr>
              <w:widowControl w:val="0"/>
              <w:rPr>
                <w:sz w:val="22"/>
              </w:rPr>
            </w:pPr>
          </w:p>
        </w:tc>
        <w:tc>
          <w:tcPr>
            <w:tcW w:w="4357" w:type="dxa"/>
            <w:gridSpan w:val="8"/>
            <w:tcBorders>
              <w:top w:val="single" w:sz="6" w:space="0" w:color="auto"/>
              <w:left w:val="single" w:sz="6" w:space="0" w:color="auto"/>
              <w:bottom w:val="single" w:sz="4" w:space="0" w:color="auto"/>
              <w:right w:val="single" w:sz="6" w:space="0" w:color="auto"/>
            </w:tcBorders>
            <w:shd w:val="clear" w:color="auto" w:fill="FFFFFF"/>
          </w:tcPr>
          <w:p w:rsidR="00BE0861" w:rsidRDefault="00817237">
            <w:pPr>
              <w:widowControl w:val="0"/>
              <w:rPr>
                <w:sz w:val="22"/>
              </w:rPr>
            </w:pPr>
            <w:r>
              <w:rPr>
                <w:bCs/>
                <w:sz w:val="22"/>
              </w:rPr>
              <w:t>I.16.</w:t>
            </w:r>
            <w:r>
              <w:rPr>
                <w:b/>
                <w:bCs/>
                <w:sz w:val="22"/>
              </w:rPr>
              <w:t xml:space="preserve"> </w:t>
            </w:r>
            <w:r>
              <w:rPr>
                <w:sz w:val="22"/>
              </w:rPr>
              <w:t>Transporto priemonė</w:t>
            </w:r>
          </w:p>
        </w:tc>
        <w:tc>
          <w:tcPr>
            <w:tcW w:w="4436" w:type="dxa"/>
            <w:gridSpan w:val="10"/>
            <w:tcBorders>
              <w:top w:val="single" w:sz="6" w:space="0" w:color="auto"/>
              <w:left w:val="single" w:sz="6" w:space="0" w:color="auto"/>
              <w:right w:val="single" w:sz="6" w:space="0" w:color="auto"/>
            </w:tcBorders>
            <w:shd w:val="clear" w:color="auto" w:fill="FFFFFF"/>
          </w:tcPr>
          <w:p w:rsidR="00BE0861" w:rsidRDefault="00817237">
            <w:pPr>
              <w:widowControl w:val="0"/>
              <w:rPr>
                <w:sz w:val="22"/>
              </w:rPr>
            </w:pPr>
            <w:r>
              <w:rPr>
                <w:sz w:val="22"/>
              </w:rPr>
              <w:t xml:space="preserve">I.17. Vežėjas </w:t>
            </w:r>
          </w:p>
        </w:tc>
      </w:tr>
      <w:tr w:rsidR="00BE0861">
        <w:trPr>
          <w:cantSplit/>
          <w:trHeight w:val="465"/>
        </w:trPr>
        <w:tc>
          <w:tcPr>
            <w:tcW w:w="358" w:type="dxa"/>
            <w:vMerge/>
            <w:tcBorders>
              <w:left w:val="nil"/>
              <w:right w:val="single" w:sz="6" w:space="0" w:color="auto"/>
            </w:tcBorders>
            <w:shd w:val="clear" w:color="auto" w:fill="FFFFFF"/>
          </w:tcPr>
          <w:p w:rsidR="00BE0861" w:rsidRDefault="00BE0861">
            <w:pPr>
              <w:widowControl w:val="0"/>
              <w:rPr>
                <w:sz w:val="22"/>
              </w:rPr>
            </w:pPr>
          </w:p>
        </w:tc>
        <w:tc>
          <w:tcPr>
            <w:tcW w:w="4357" w:type="dxa"/>
            <w:gridSpan w:val="8"/>
            <w:tcBorders>
              <w:top w:val="single" w:sz="4" w:space="0" w:color="auto"/>
              <w:left w:val="single" w:sz="6" w:space="0" w:color="auto"/>
              <w:right w:val="single" w:sz="6" w:space="0" w:color="auto"/>
            </w:tcBorders>
            <w:shd w:val="clear" w:color="auto" w:fill="FFFFFF"/>
          </w:tcPr>
          <w:p w:rsidR="00BE0861" w:rsidRDefault="00817237">
            <w:pPr>
              <w:widowControl w:val="0"/>
              <w:rPr>
                <w:sz w:val="22"/>
              </w:rPr>
            </w:pPr>
            <w:r>
              <w:rPr>
                <w:sz w:val="22"/>
              </w:rPr>
              <w:t xml:space="preserve">Lėktuvas </w:t>
            </w:r>
            <w:r>
              <w:rPr>
                <w:sz w:val="22"/>
              </w:rPr>
              <w:sym w:font="Wingdings 2" w:char="F0A3"/>
            </w:r>
            <w:r>
              <w:rPr>
                <w:vanish/>
                <w:sz w:val="22"/>
              </w:rPr>
              <w:t>[]</w:t>
            </w:r>
            <w:r>
              <w:rPr>
                <w:sz w:val="22"/>
              </w:rPr>
              <w:t xml:space="preserve">    Laivas </w:t>
            </w:r>
            <w:r>
              <w:rPr>
                <w:sz w:val="22"/>
              </w:rPr>
              <w:sym w:font="Wingdings 2" w:char="F0A3"/>
            </w:r>
            <w:r>
              <w:rPr>
                <w:vanish/>
                <w:sz w:val="22"/>
              </w:rPr>
              <w:t>[]</w:t>
            </w:r>
            <w:r>
              <w:rPr>
                <w:sz w:val="22"/>
              </w:rPr>
              <w:t xml:space="preserve"> </w:t>
            </w:r>
          </w:p>
          <w:p w:rsidR="00BE0861" w:rsidRDefault="00817237">
            <w:pPr>
              <w:widowControl w:val="0"/>
              <w:rPr>
                <w:sz w:val="22"/>
              </w:rPr>
            </w:pPr>
            <w:r>
              <w:rPr>
                <w:sz w:val="22"/>
              </w:rPr>
              <w:t xml:space="preserve">Geležinkelio vagonas </w:t>
            </w:r>
            <w:r>
              <w:rPr>
                <w:sz w:val="22"/>
              </w:rPr>
              <w:sym w:font="Wingdings 2" w:char="F0A3"/>
            </w:r>
            <w:r>
              <w:rPr>
                <w:vanish/>
                <w:sz w:val="22"/>
              </w:rPr>
              <w:t>[]</w:t>
            </w:r>
            <w:r>
              <w:rPr>
                <w:sz w:val="22"/>
              </w:rPr>
              <w:t xml:space="preserve"> </w:t>
            </w:r>
          </w:p>
          <w:p w:rsidR="00BE0861" w:rsidRDefault="00817237">
            <w:pPr>
              <w:widowControl w:val="0"/>
              <w:rPr>
                <w:sz w:val="22"/>
              </w:rPr>
            </w:pPr>
            <w:r>
              <w:rPr>
                <w:sz w:val="22"/>
              </w:rPr>
              <w:t xml:space="preserve">Kelio transporto priemonė </w:t>
            </w:r>
            <w:r>
              <w:rPr>
                <w:sz w:val="22"/>
              </w:rPr>
              <w:sym w:font="Wingdings 2" w:char="F0A3"/>
            </w:r>
            <w:r>
              <w:rPr>
                <w:vanish/>
                <w:sz w:val="22"/>
              </w:rPr>
              <w:t>[]</w:t>
            </w:r>
            <w:r>
              <w:rPr>
                <w:sz w:val="22"/>
              </w:rPr>
              <w:t xml:space="preserve">    Kita </w:t>
            </w:r>
            <w:r>
              <w:rPr>
                <w:sz w:val="22"/>
              </w:rPr>
              <w:sym w:font="Wingdings 2" w:char="F0A3"/>
            </w:r>
            <w:r>
              <w:rPr>
                <w:vanish/>
                <w:sz w:val="22"/>
              </w:rPr>
              <w:t>[]</w:t>
            </w:r>
          </w:p>
        </w:tc>
        <w:tc>
          <w:tcPr>
            <w:tcW w:w="2245" w:type="dxa"/>
            <w:gridSpan w:val="7"/>
            <w:tcBorders>
              <w:left w:val="single" w:sz="6" w:space="0" w:color="auto"/>
            </w:tcBorders>
            <w:shd w:val="clear" w:color="auto" w:fill="FFFFFF"/>
          </w:tcPr>
          <w:p w:rsidR="00BE0861" w:rsidRDefault="00817237">
            <w:pPr>
              <w:widowControl w:val="0"/>
              <w:ind w:left="45"/>
              <w:rPr>
                <w:sz w:val="22"/>
              </w:rPr>
            </w:pPr>
            <w:r>
              <w:rPr>
                <w:sz w:val="22"/>
              </w:rPr>
              <w:t xml:space="preserve">Pavadinimas </w:t>
            </w:r>
          </w:p>
          <w:p w:rsidR="00BE0861" w:rsidRDefault="00817237">
            <w:pPr>
              <w:widowControl w:val="0"/>
              <w:ind w:left="45"/>
              <w:rPr>
                <w:sz w:val="22"/>
              </w:rPr>
            </w:pPr>
            <w:r>
              <w:rPr>
                <w:sz w:val="22"/>
              </w:rPr>
              <w:t>Adresas</w:t>
            </w:r>
          </w:p>
          <w:p w:rsidR="00BE0861" w:rsidRDefault="00BE0861">
            <w:pPr>
              <w:widowControl w:val="0"/>
              <w:ind w:left="45"/>
              <w:rPr>
                <w:sz w:val="22"/>
              </w:rPr>
            </w:pPr>
          </w:p>
        </w:tc>
        <w:tc>
          <w:tcPr>
            <w:tcW w:w="2191" w:type="dxa"/>
            <w:gridSpan w:val="3"/>
            <w:tcBorders>
              <w:right w:val="single" w:sz="6" w:space="0" w:color="auto"/>
            </w:tcBorders>
            <w:shd w:val="clear" w:color="auto" w:fill="FFFFFF"/>
          </w:tcPr>
          <w:p w:rsidR="00BE0861" w:rsidRDefault="00817237">
            <w:pPr>
              <w:widowControl w:val="0"/>
              <w:rPr>
                <w:sz w:val="22"/>
              </w:rPr>
            </w:pPr>
            <w:r>
              <w:rPr>
                <w:sz w:val="22"/>
              </w:rPr>
              <w:t>Patvirtinimo numeris</w:t>
            </w:r>
          </w:p>
        </w:tc>
      </w:tr>
      <w:tr w:rsidR="00BE0861">
        <w:trPr>
          <w:cantSplit/>
          <w:trHeight w:val="70"/>
        </w:trPr>
        <w:tc>
          <w:tcPr>
            <w:tcW w:w="358" w:type="dxa"/>
            <w:vMerge/>
            <w:tcBorders>
              <w:left w:val="nil"/>
              <w:bottom w:val="nil"/>
              <w:right w:val="single" w:sz="6" w:space="0" w:color="auto"/>
            </w:tcBorders>
            <w:shd w:val="clear" w:color="auto" w:fill="FFFFFF"/>
          </w:tcPr>
          <w:p w:rsidR="00BE0861" w:rsidRDefault="00BE0861">
            <w:pPr>
              <w:widowControl w:val="0"/>
              <w:rPr>
                <w:sz w:val="22"/>
              </w:rPr>
            </w:pPr>
          </w:p>
        </w:tc>
        <w:tc>
          <w:tcPr>
            <w:tcW w:w="4357" w:type="dxa"/>
            <w:gridSpan w:val="8"/>
            <w:tcBorders>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Identifikacija:</w:t>
            </w:r>
          </w:p>
        </w:tc>
        <w:tc>
          <w:tcPr>
            <w:tcW w:w="2245" w:type="dxa"/>
            <w:gridSpan w:val="7"/>
            <w:tcBorders>
              <w:left w:val="single" w:sz="6" w:space="0" w:color="auto"/>
              <w:bottom w:val="single" w:sz="6" w:space="0" w:color="auto"/>
            </w:tcBorders>
            <w:shd w:val="clear" w:color="auto" w:fill="FFFFFF"/>
          </w:tcPr>
          <w:p w:rsidR="00BE0861" w:rsidRDefault="00817237">
            <w:pPr>
              <w:widowControl w:val="0"/>
              <w:ind w:left="45"/>
              <w:rPr>
                <w:sz w:val="22"/>
              </w:rPr>
            </w:pPr>
            <w:r>
              <w:rPr>
                <w:sz w:val="22"/>
              </w:rPr>
              <w:t xml:space="preserve">Pašto kodas </w:t>
            </w:r>
          </w:p>
        </w:tc>
        <w:tc>
          <w:tcPr>
            <w:tcW w:w="2191" w:type="dxa"/>
            <w:gridSpan w:val="3"/>
            <w:tcBorders>
              <w:bottom w:val="single" w:sz="6" w:space="0" w:color="auto"/>
              <w:right w:val="single" w:sz="6" w:space="0" w:color="auto"/>
            </w:tcBorders>
            <w:shd w:val="clear" w:color="auto" w:fill="FFFFFF"/>
          </w:tcPr>
          <w:p w:rsidR="00BE0861" w:rsidRDefault="00817237">
            <w:pPr>
              <w:widowControl w:val="0"/>
              <w:rPr>
                <w:sz w:val="22"/>
              </w:rPr>
            </w:pPr>
            <w:r>
              <w:rPr>
                <w:sz w:val="22"/>
              </w:rPr>
              <w:t>Šalis narė</w:t>
            </w: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5263" w:type="dxa"/>
            <w:gridSpan w:val="9"/>
            <w:tcBorders>
              <w:top w:val="single" w:sz="6" w:space="0" w:color="auto"/>
              <w:left w:val="single" w:sz="6" w:space="0" w:color="auto"/>
              <w:right w:val="single" w:sz="6" w:space="0" w:color="auto"/>
            </w:tcBorders>
            <w:shd w:val="clear" w:color="auto" w:fill="FFFFFF"/>
          </w:tcPr>
          <w:p w:rsidR="00BE0861" w:rsidRDefault="00817237">
            <w:pPr>
              <w:widowControl w:val="0"/>
              <w:rPr>
                <w:rFonts w:ascii="Arial" w:hAnsi="Arial" w:cs="Arial"/>
                <w:sz w:val="22"/>
              </w:rPr>
            </w:pPr>
            <w:r>
              <w:rPr>
                <w:sz w:val="22"/>
              </w:rPr>
              <w:t>I.18. Prekės aprašymas</w:t>
            </w:r>
          </w:p>
        </w:tc>
        <w:tc>
          <w:tcPr>
            <w:tcW w:w="3530" w:type="dxa"/>
            <w:gridSpan w:val="9"/>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I.19. Prekės kodas (KPN)</w:t>
            </w: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6572" w:type="dxa"/>
            <w:gridSpan w:val="14"/>
            <w:tcBorders>
              <w:left w:val="single" w:sz="6" w:space="0" w:color="auto"/>
              <w:bottom w:val="single" w:sz="6" w:space="0" w:color="auto"/>
              <w:right w:val="single" w:sz="6" w:space="0" w:color="auto"/>
            </w:tcBorders>
            <w:shd w:val="clear" w:color="auto" w:fill="FFFFFF"/>
          </w:tcPr>
          <w:p w:rsidR="00BE0861" w:rsidRDefault="00BE0861">
            <w:pPr>
              <w:widowControl w:val="0"/>
              <w:rPr>
                <w:rFonts w:ascii="Arial" w:hAnsi="Arial" w:cs="Arial"/>
                <w:sz w:val="22"/>
              </w:rPr>
            </w:pPr>
          </w:p>
        </w:tc>
        <w:tc>
          <w:tcPr>
            <w:tcW w:w="2221" w:type="dxa"/>
            <w:gridSpan w:val="4"/>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I.20. Skaičius/Kiekis</w:t>
            </w:r>
          </w:p>
          <w:p w:rsidR="00BE0861" w:rsidRDefault="00BE0861">
            <w:pPr>
              <w:widowControl w:val="0"/>
              <w:rPr>
                <w:sz w:val="22"/>
              </w:rPr>
            </w:pP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6572" w:type="dxa"/>
            <w:gridSpan w:val="14"/>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BE0861" w:rsidRDefault="00817237">
            <w:pPr>
              <w:widowControl w:val="0"/>
              <w:rPr>
                <w:rFonts w:ascii="Arial" w:hAnsi="Arial" w:cs="Arial"/>
                <w:sz w:val="22"/>
              </w:rPr>
            </w:pPr>
            <w:r>
              <w:rPr>
                <w:sz w:val="22"/>
              </w:rPr>
              <w:t>I.21.</w:t>
            </w:r>
          </w:p>
        </w:tc>
        <w:tc>
          <w:tcPr>
            <w:tcW w:w="2221" w:type="dxa"/>
            <w:gridSpan w:val="4"/>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I.22. Pakuočių skaičius</w:t>
            </w:r>
          </w:p>
          <w:p w:rsidR="00BE0861" w:rsidRDefault="00BE0861">
            <w:pPr>
              <w:widowControl w:val="0"/>
              <w:rPr>
                <w:sz w:val="22"/>
              </w:rPr>
            </w:pP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6572" w:type="dxa"/>
            <w:gridSpan w:val="14"/>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rFonts w:ascii="Arial" w:hAnsi="Arial" w:cs="Arial"/>
                <w:sz w:val="22"/>
              </w:rPr>
            </w:pPr>
            <w:r>
              <w:rPr>
                <w:sz w:val="22"/>
              </w:rPr>
              <w:t>I.23. Konteinerio identifikacija/Plombos numeris</w:t>
            </w:r>
          </w:p>
        </w:tc>
        <w:tc>
          <w:tcPr>
            <w:tcW w:w="2221" w:type="dxa"/>
            <w:gridSpan w:val="4"/>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I.24. Įpakavimas</w:t>
            </w:r>
          </w:p>
          <w:p w:rsidR="00BE0861" w:rsidRDefault="00BE0861">
            <w:pPr>
              <w:widowControl w:val="0"/>
              <w:rPr>
                <w:sz w:val="22"/>
              </w:rPr>
            </w:pP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8793" w:type="dxa"/>
            <w:gridSpan w:val="18"/>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 xml:space="preserve">I.25. Prekės patvirtintos šiam tikslui </w:t>
            </w:r>
          </w:p>
          <w:p w:rsidR="00BE0861" w:rsidRDefault="00817237">
            <w:pPr>
              <w:widowControl w:val="0"/>
              <w:ind w:left="441"/>
              <w:rPr>
                <w:rFonts w:ascii="Arial" w:hAnsi="Arial" w:cs="Arial"/>
                <w:sz w:val="22"/>
              </w:rPr>
            </w:pPr>
            <w:r>
              <w:rPr>
                <w:sz w:val="22"/>
              </w:rPr>
              <w:t xml:space="preserve">Veislei </w:t>
            </w:r>
            <w:r>
              <w:rPr>
                <w:sz w:val="22"/>
              </w:rPr>
              <w:sym w:font="Wingdings 2" w:char="F0A3"/>
            </w:r>
            <w:r>
              <w:rPr>
                <w:vanish/>
                <w:sz w:val="22"/>
              </w:rPr>
              <w:t>[]</w:t>
            </w:r>
            <w:r>
              <w:rPr>
                <w:sz w:val="22"/>
              </w:rPr>
              <w:t xml:space="preserve">   Registruoti arkliniai </w:t>
            </w:r>
            <w:r>
              <w:rPr>
                <w:sz w:val="22"/>
              </w:rPr>
              <w:sym w:font="Wingdings 2" w:char="F0A3"/>
            </w:r>
            <w:r>
              <w:rPr>
                <w:vanish/>
                <w:sz w:val="22"/>
              </w:rPr>
              <w:t>[]</w:t>
            </w:r>
            <w:r>
              <w:rPr>
                <w:sz w:val="22"/>
              </w:rPr>
              <w:t xml:space="preserve">   Skerdimui </w:t>
            </w:r>
            <w:r>
              <w:rPr>
                <w:sz w:val="22"/>
              </w:rPr>
              <w:sym w:font="Wingdings 2" w:char="F0A3"/>
            </w:r>
            <w:r>
              <w:rPr>
                <w:vanish/>
                <w:sz w:val="22"/>
              </w:rPr>
              <w:t>[]</w:t>
            </w:r>
            <w:r>
              <w:rPr>
                <w:sz w:val="22"/>
              </w:rPr>
              <w:t xml:space="preserve">   Kiti </w:t>
            </w:r>
            <w:r>
              <w:rPr>
                <w:sz w:val="22"/>
              </w:rPr>
              <w:sym w:font="Wingdings 2" w:char="F0A3"/>
            </w:r>
            <w:r>
              <w:rPr>
                <w:vanish/>
                <w:sz w:val="22"/>
              </w:rPr>
              <w:t>[]</w:t>
            </w:r>
          </w:p>
        </w:tc>
      </w:tr>
      <w:tr w:rsidR="00BE0861">
        <w:trPr>
          <w:cantSplit/>
          <w:trHeight w:val="120"/>
        </w:trPr>
        <w:tc>
          <w:tcPr>
            <w:tcW w:w="358" w:type="dxa"/>
            <w:vMerge w:val="restart"/>
            <w:tcBorders>
              <w:top w:val="nil"/>
              <w:left w:val="nil"/>
              <w:right w:val="single" w:sz="6" w:space="0" w:color="auto"/>
            </w:tcBorders>
            <w:shd w:val="clear" w:color="auto" w:fill="FFFFFF"/>
          </w:tcPr>
          <w:p w:rsidR="00BE0861" w:rsidRDefault="00BE0861">
            <w:pPr>
              <w:widowControl w:val="0"/>
              <w:rPr>
                <w:rFonts w:ascii="Arial" w:hAnsi="Arial" w:cs="Arial"/>
                <w:sz w:val="22"/>
              </w:rPr>
            </w:pPr>
          </w:p>
        </w:tc>
        <w:tc>
          <w:tcPr>
            <w:tcW w:w="4357" w:type="dxa"/>
            <w:gridSpan w:val="8"/>
            <w:tcBorders>
              <w:top w:val="single" w:sz="6" w:space="0" w:color="auto"/>
              <w:left w:val="single" w:sz="6" w:space="0" w:color="auto"/>
              <w:right w:val="single" w:sz="4" w:space="0" w:color="auto"/>
            </w:tcBorders>
            <w:shd w:val="clear" w:color="auto" w:fill="FFFFFF"/>
          </w:tcPr>
          <w:p w:rsidR="00BE0861" w:rsidRDefault="00817237">
            <w:pPr>
              <w:widowControl w:val="0"/>
              <w:rPr>
                <w:rFonts w:ascii="Arial" w:hAnsi="Arial" w:cs="Arial"/>
                <w:sz w:val="22"/>
              </w:rPr>
            </w:pPr>
            <w:r>
              <w:rPr>
                <w:sz w:val="22"/>
              </w:rPr>
              <w:t>I.26. Tranzitu per trečiąją šalį [_____]</w:t>
            </w:r>
          </w:p>
        </w:tc>
        <w:tc>
          <w:tcPr>
            <w:tcW w:w="4436" w:type="dxa"/>
            <w:gridSpan w:val="10"/>
            <w:tcBorders>
              <w:top w:val="single" w:sz="6" w:space="0" w:color="auto"/>
              <w:left w:val="single" w:sz="4" w:space="0" w:color="auto"/>
              <w:right w:val="single" w:sz="6" w:space="0" w:color="auto"/>
            </w:tcBorders>
            <w:shd w:val="clear" w:color="auto" w:fill="FFFFFF"/>
          </w:tcPr>
          <w:p w:rsidR="00BE0861" w:rsidRDefault="00817237">
            <w:pPr>
              <w:widowControl w:val="0"/>
              <w:tabs>
                <w:tab w:val="left" w:leader="underscore" w:pos="2069"/>
              </w:tabs>
              <w:rPr>
                <w:sz w:val="22"/>
              </w:rPr>
            </w:pPr>
            <w:r>
              <w:rPr>
                <w:sz w:val="22"/>
              </w:rPr>
              <w:t>I.27. Tranzitu per ES šalis [_____]</w:t>
            </w:r>
          </w:p>
        </w:tc>
      </w:tr>
      <w:tr w:rsidR="00BE0861">
        <w:trPr>
          <w:cantSplit/>
          <w:trHeight w:val="195"/>
        </w:trPr>
        <w:tc>
          <w:tcPr>
            <w:tcW w:w="358" w:type="dxa"/>
            <w:vMerge/>
            <w:tcBorders>
              <w:left w:val="nil"/>
              <w:right w:val="single" w:sz="6" w:space="0" w:color="auto"/>
            </w:tcBorders>
            <w:shd w:val="clear" w:color="auto" w:fill="FFFFFF"/>
          </w:tcPr>
          <w:p w:rsidR="00BE0861" w:rsidRDefault="00BE0861">
            <w:pPr>
              <w:widowControl w:val="0"/>
              <w:rPr>
                <w:rFonts w:ascii="Arial" w:hAnsi="Arial" w:cs="Arial"/>
                <w:sz w:val="22"/>
              </w:rPr>
            </w:pPr>
          </w:p>
        </w:tc>
        <w:tc>
          <w:tcPr>
            <w:tcW w:w="2159" w:type="dxa"/>
            <w:gridSpan w:val="3"/>
            <w:tcBorders>
              <w:left w:val="single" w:sz="6" w:space="0" w:color="auto"/>
            </w:tcBorders>
            <w:shd w:val="clear" w:color="auto" w:fill="FFFFFF"/>
          </w:tcPr>
          <w:p w:rsidR="00BE0861" w:rsidRDefault="00817237">
            <w:pPr>
              <w:widowControl w:val="0"/>
              <w:tabs>
                <w:tab w:val="left" w:pos="2241"/>
              </w:tabs>
              <w:rPr>
                <w:sz w:val="22"/>
              </w:rPr>
            </w:pPr>
            <w:r>
              <w:rPr>
                <w:sz w:val="22"/>
              </w:rPr>
              <w:t>Trečioji šalis</w:t>
            </w:r>
          </w:p>
        </w:tc>
        <w:tc>
          <w:tcPr>
            <w:tcW w:w="2198" w:type="dxa"/>
            <w:gridSpan w:val="5"/>
            <w:tcBorders>
              <w:right w:val="single" w:sz="4" w:space="0" w:color="auto"/>
            </w:tcBorders>
            <w:shd w:val="clear" w:color="auto" w:fill="FFFFFF"/>
          </w:tcPr>
          <w:p w:rsidR="00BE0861" w:rsidRDefault="00817237">
            <w:pPr>
              <w:widowControl w:val="0"/>
              <w:tabs>
                <w:tab w:val="left" w:pos="2241"/>
              </w:tabs>
              <w:ind w:left="80"/>
              <w:rPr>
                <w:sz w:val="22"/>
              </w:rPr>
            </w:pPr>
            <w:r>
              <w:rPr>
                <w:sz w:val="22"/>
              </w:rPr>
              <w:t xml:space="preserve">ISO kodas </w:t>
            </w:r>
          </w:p>
        </w:tc>
        <w:tc>
          <w:tcPr>
            <w:tcW w:w="2125" w:type="dxa"/>
            <w:gridSpan w:val="5"/>
            <w:tcBorders>
              <w:left w:val="single" w:sz="4" w:space="0" w:color="auto"/>
            </w:tcBorders>
            <w:shd w:val="clear" w:color="auto" w:fill="FFFFFF"/>
          </w:tcPr>
          <w:p w:rsidR="00BE0861" w:rsidRDefault="00817237">
            <w:pPr>
              <w:widowControl w:val="0"/>
              <w:tabs>
                <w:tab w:val="left" w:pos="2083"/>
              </w:tabs>
              <w:rPr>
                <w:sz w:val="22"/>
              </w:rPr>
            </w:pPr>
            <w:r>
              <w:rPr>
                <w:sz w:val="22"/>
              </w:rPr>
              <w:t>Šalis narė</w:t>
            </w:r>
          </w:p>
        </w:tc>
        <w:tc>
          <w:tcPr>
            <w:tcW w:w="2311" w:type="dxa"/>
            <w:gridSpan w:val="5"/>
            <w:tcBorders>
              <w:right w:val="single" w:sz="6" w:space="0" w:color="auto"/>
            </w:tcBorders>
            <w:shd w:val="clear" w:color="auto" w:fill="FFFFFF"/>
          </w:tcPr>
          <w:p w:rsidR="00BE0861" w:rsidRDefault="00817237">
            <w:pPr>
              <w:widowControl w:val="0"/>
              <w:tabs>
                <w:tab w:val="left" w:pos="2083"/>
              </w:tabs>
              <w:rPr>
                <w:sz w:val="22"/>
              </w:rPr>
            </w:pPr>
            <w:r>
              <w:rPr>
                <w:sz w:val="22"/>
              </w:rPr>
              <w:t xml:space="preserve">ISO kodas </w:t>
            </w:r>
          </w:p>
        </w:tc>
      </w:tr>
      <w:tr w:rsidR="00BE0861">
        <w:trPr>
          <w:cantSplit/>
          <w:trHeight w:val="255"/>
        </w:trPr>
        <w:tc>
          <w:tcPr>
            <w:tcW w:w="358" w:type="dxa"/>
            <w:vMerge/>
            <w:tcBorders>
              <w:left w:val="nil"/>
              <w:right w:val="single" w:sz="6" w:space="0" w:color="auto"/>
            </w:tcBorders>
            <w:shd w:val="clear" w:color="auto" w:fill="FFFFFF"/>
          </w:tcPr>
          <w:p w:rsidR="00BE0861" w:rsidRDefault="00BE0861">
            <w:pPr>
              <w:widowControl w:val="0"/>
              <w:rPr>
                <w:rFonts w:ascii="Arial" w:hAnsi="Arial" w:cs="Arial"/>
                <w:sz w:val="22"/>
              </w:rPr>
            </w:pPr>
          </w:p>
        </w:tc>
        <w:tc>
          <w:tcPr>
            <w:tcW w:w="2159" w:type="dxa"/>
            <w:gridSpan w:val="3"/>
            <w:tcBorders>
              <w:left w:val="single" w:sz="6" w:space="0" w:color="auto"/>
            </w:tcBorders>
            <w:shd w:val="clear" w:color="auto" w:fill="FFFFFF"/>
          </w:tcPr>
          <w:p w:rsidR="00BE0861" w:rsidRDefault="00817237">
            <w:pPr>
              <w:widowControl w:val="0"/>
              <w:tabs>
                <w:tab w:val="left" w:pos="2241"/>
              </w:tabs>
              <w:rPr>
                <w:sz w:val="22"/>
              </w:rPr>
            </w:pPr>
            <w:r>
              <w:rPr>
                <w:sz w:val="22"/>
              </w:rPr>
              <w:t>Išvažiavimo vieta</w:t>
            </w:r>
          </w:p>
        </w:tc>
        <w:tc>
          <w:tcPr>
            <w:tcW w:w="2198" w:type="dxa"/>
            <w:gridSpan w:val="5"/>
            <w:tcBorders>
              <w:right w:val="single" w:sz="4" w:space="0" w:color="auto"/>
            </w:tcBorders>
            <w:shd w:val="clear" w:color="auto" w:fill="FFFFFF"/>
          </w:tcPr>
          <w:p w:rsidR="00BE0861" w:rsidRDefault="00817237">
            <w:pPr>
              <w:widowControl w:val="0"/>
              <w:tabs>
                <w:tab w:val="left" w:pos="2241"/>
              </w:tabs>
              <w:ind w:left="80"/>
              <w:rPr>
                <w:sz w:val="22"/>
              </w:rPr>
            </w:pPr>
            <w:r>
              <w:rPr>
                <w:sz w:val="22"/>
              </w:rPr>
              <w:t xml:space="preserve">Kodas </w:t>
            </w:r>
          </w:p>
        </w:tc>
        <w:tc>
          <w:tcPr>
            <w:tcW w:w="2125" w:type="dxa"/>
            <w:gridSpan w:val="5"/>
            <w:tcBorders>
              <w:left w:val="single" w:sz="4" w:space="0" w:color="auto"/>
            </w:tcBorders>
            <w:shd w:val="clear" w:color="auto" w:fill="FFFFFF"/>
          </w:tcPr>
          <w:p w:rsidR="00BE0861" w:rsidRDefault="00817237">
            <w:pPr>
              <w:widowControl w:val="0"/>
              <w:tabs>
                <w:tab w:val="left" w:pos="2083"/>
              </w:tabs>
              <w:rPr>
                <w:sz w:val="22"/>
              </w:rPr>
            </w:pPr>
            <w:r>
              <w:rPr>
                <w:sz w:val="22"/>
              </w:rPr>
              <w:t>Šalis narė</w:t>
            </w:r>
          </w:p>
        </w:tc>
        <w:tc>
          <w:tcPr>
            <w:tcW w:w="2311" w:type="dxa"/>
            <w:gridSpan w:val="5"/>
            <w:tcBorders>
              <w:right w:val="single" w:sz="6" w:space="0" w:color="auto"/>
            </w:tcBorders>
            <w:shd w:val="clear" w:color="auto" w:fill="FFFFFF"/>
          </w:tcPr>
          <w:p w:rsidR="00BE0861" w:rsidRDefault="00817237">
            <w:pPr>
              <w:widowControl w:val="0"/>
              <w:tabs>
                <w:tab w:val="left" w:pos="2083"/>
              </w:tabs>
              <w:rPr>
                <w:sz w:val="22"/>
              </w:rPr>
            </w:pPr>
            <w:r>
              <w:rPr>
                <w:sz w:val="22"/>
              </w:rPr>
              <w:t xml:space="preserve">ISO kodas </w:t>
            </w:r>
          </w:p>
        </w:tc>
      </w:tr>
      <w:tr w:rsidR="00BE0861">
        <w:trPr>
          <w:cantSplit/>
          <w:trHeight w:val="80"/>
        </w:trPr>
        <w:tc>
          <w:tcPr>
            <w:tcW w:w="358" w:type="dxa"/>
            <w:vMerge/>
            <w:tcBorders>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2159" w:type="dxa"/>
            <w:gridSpan w:val="3"/>
            <w:tcBorders>
              <w:left w:val="single" w:sz="6" w:space="0" w:color="auto"/>
              <w:bottom w:val="single" w:sz="6" w:space="0" w:color="auto"/>
            </w:tcBorders>
            <w:shd w:val="clear" w:color="auto" w:fill="FFFFFF"/>
          </w:tcPr>
          <w:p w:rsidR="00BE0861" w:rsidRDefault="00817237">
            <w:pPr>
              <w:widowControl w:val="0"/>
              <w:tabs>
                <w:tab w:val="left" w:pos="2241"/>
              </w:tabs>
              <w:rPr>
                <w:sz w:val="22"/>
              </w:rPr>
            </w:pPr>
            <w:r>
              <w:rPr>
                <w:sz w:val="22"/>
              </w:rPr>
              <w:t>Įvažiavimo vieta</w:t>
            </w:r>
          </w:p>
        </w:tc>
        <w:tc>
          <w:tcPr>
            <w:tcW w:w="2198" w:type="dxa"/>
            <w:gridSpan w:val="5"/>
            <w:tcBorders>
              <w:bottom w:val="single" w:sz="6" w:space="0" w:color="auto"/>
              <w:right w:val="single" w:sz="4" w:space="0" w:color="auto"/>
            </w:tcBorders>
            <w:shd w:val="clear" w:color="auto" w:fill="FFFFFF"/>
          </w:tcPr>
          <w:p w:rsidR="00BE0861" w:rsidRDefault="00817237">
            <w:pPr>
              <w:widowControl w:val="0"/>
              <w:tabs>
                <w:tab w:val="left" w:pos="2241"/>
              </w:tabs>
              <w:ind w:left="80"/>
              <w:rPr>
                <w:sz w:val="22"/>
              </w:rPr>
            </w:pPr>
            <w:r>
              <w:rPr>
                <w:sz w:val="22"/>
              </w:rPr>
              <w:t>PVP vieneto numeris</w:t>
            </w:r>
          </w:p>
        </w:tc>
        <w:tc>
          <w:tcPr>
            <w:tcW w:w="2125" w:type="dxa"/>
            <w:gridSpan w:val="5"/>
            <w:tcBorders>
              <w:left w:val="single" w:sz="4" w:space="0" w:color="auto"/>
              <w:bottom w:val="single" w:sz="6" w:space="0" w:color="auto"/>
            </w:tcBorders>
            <w:shd w:val="clear" w:color="auto" w:fill="FFFFFF"/>
          </w:tcPr>
          <w:p w:rsidR="00BE0861" w:rsidRDefault="00817237">
            <w:pPr>
              <w:widowControl w:val="0"/>
              <w:tabs>
                <w:tab w:val="left" w:pos="2083"/>
              </w:tabs>
              <w:rPr>
                <w:sz w:val="22"/>
              </w:rPr>
            </w:pPr>
            <w:r>
              <w:rPr>
                <w:sz w:val="22"/>
              </w:rPr>
              <w:t>Šalis narė</w:t>
            </w:r>
          </w:p>
        </w:tc>
        <w:tc>
          <w:tcPr>
            <w:tcW w:w="2311" w:type="dxa"/>
            <w:gridSpan w:val="5"/>
            <w:tcBorders>
              <w:bottom w:val="single" w:sz="6" w:space="0" w:color="auto"/>
              <w:right w:val="single" w:sz="6" w:space="0" w:color="auto"/>
            </w:tcBorders>
            <w:shd w:val="clear" w:color="auto" w:fill="FFFFFF"/>
          </w:tcPr>
          <w:p w:rsidR="00BE0861" w:rsidRDefault="00817237">
            <w:pPr>
              <w:widowControl w:val="0"/>
              <w:tabs>
                <w:tab w:val="left" w:pos="2083"/>
              </w:tabs>
              <w:rPr>
                <w:sz w:val="22"/>
              </w:rPr>
            </w:pPr>
            <w:r>
              <w:rPr>
                <w:sz w:val="22"/>
              </w:rPr>
              <w:t>ISO kodas</w:t>
            </w:r>
          </w:p>
        </w:tc>
      </w:tr>
      <w:tr w:rsidR="00BE0861">
        <w:trPr>
          <w:cantSplit/>
          <w:trHeight w:val="135"/>
        </w:trPr>
        <w:tc>
          <w:tcPr>
            <w:tcW w:w="358" w:type="dxa"/>
            <w:vMerge w:val="restart"/>
            <w:tcBorders>
              <w:top w:val="nil"/>
              <w:left w:val="nil"/>
              <w:right w:val="single" w:sz="6" w:space="0" w:color="auto"/>
            </w:tcBorders>
            <w:shd w:val="clear" w:color="auto" w:fill="FFFFFF"/>
          </w:tcPr>
          <w:p w:rsidR="00BE0861" w:rsidRDefault="00BE0861">
            <w:pPr>
              <w:keepNext/>
              <w:rPr>
                <w:rFonts w:ascii="Arial" w:hAnsi="Arial" w:cs="Arial"/>
                <w:sz w:val="22"/>
              </w:rPr>
            </w:pPr>
          </w:p>
        </w:tc>
        <w:tc>
          <w:tcPr>
            <w:tcW w:w="4357" w:type="dxa"/>
            <w:gridSpan w:val="8"/>
            <w:tcBorders>
              <w:top w:val="single" w:sz="6" w:space="0" w:color="auto"/>
              <w:left w:val="single" w:sz="6" w:space="0" w:color="auto"/>
              <w:right w:val="single" w:sz="6" w:space="0" w:color="auto"/>
            </w:tcBorders>
            <w:shd w:val="clear" w:color="auto" w:fill="FFFFFF"/>
          </w:tcPr>
          <w:p w:rsidR="00BE0861" w:rsidRDefault="00817237">
            <w:pPr>
              <w:keepNext/>
              <w:rPr>
                <w:rFonts w:ascii="Arial" w:hAnsi="Arial" w:cs="Arial"/>
                <w:sz w:val="22"/>
              </w:rPr>
            </w:pPr>
            <w:r>
              <w:rPr>
                <w:sz w:val="22"/>
              </w:rPr>
              <w:t xml:space="preserve">I.28. Eksportas [_____] </w:t>
            </w:r>
          </w:p>
        </w:tc>
        <w:tc>
          <w:tcPr>
            <w:tcW w:w="4436" w:type="dxa"/>
            <w:gridSpan w:val="10"/>
            <w:vMerge w:val="restart"/>
            <w:tcBorders>
              <w:top w:val="single" w:sz="6" w:space="0" w:color="auto"/>
              <w:left w:val="single" w:sz="6" w:space="0" w:color="auto"/>
              <w:right w:val="single" w:sz="6" w:space="0" w:color="auto"/>
            </w:tcBorders>
            <w:shd w:val="clear" w:color="auto" w:fill="FFFFFF"/>
          </w:tcPr>
          <w:p w:rsidR="00BE0861" w:rsidRDefault="00817237">
            <w:pPr>
              <w:keepNext/>
              <w:rPr>
                <w:sz w:val="22"/>
              </w:rPr>
            </w:pPr>
            <w:r>
              <w:rPr>
                <w:sz w:val="22"/>
              </w:rPr>
              <w:t>I.29. Numatoma kelionės trukmė</w:t>
            </w:r>
          </w:p>
        </w:tc>
      </w:tr>
      <w:tr w:rsidR="00BE0861">
        <w:trPr>
          <w:cantSplit/>
          <w:trHeight w:val="80"/>
        </w:trPr>
        <w:tc>
          <w:tcPr>
            <w:tcW w:w="358" w:type="dxa"/>
            <w:vMerge/>
            <w:tcBorders>
              <w:left w:val="nil"/>
              <w:right w:val="single" w:sz="6" w:space="0" w:color="auto"/>
            </w:tcBorders>
            <w:shd w:val="clear" w:color="auto" w:fill="FFFFFF"/>
          </w:tcPr>
          <w:p w:rsidR="00BE0861" w:rsidRDefault="00BE0861">
            <w:pPr>
              <w:keepNext/>
              <w:rPr>
                <w:rFonts w:ascii="Arial" w:hAnsi="Arial" w:cs="Arial"/>
                <w:sz w:val="22"/>
              </w:rPr>
            </w:pPr>
          </w:p>
        </w:tc>
        <w:tc>
          <w:tcPr>
            <w:tcW w:w="2162" w:type="dxa"/>
            <w:gridSpan w:val="3"/>
            <w:tcBorders>
              <w:left w:val="single" w:sz="6" w:space="0" w:color="auto"/>
            </w:tcBorders>
            <w:shd w:val="clear" w:color="auto" w:fill="FFFFFF"/>
          </w:tcPr>
          <w:p w:rsidR="00BE0861" w:rsidRDefault="00817237">
            <w:pPr>
              <w:keepNext/>
              <w:tabs>
                <w:tab w:val="left" w:pos="2241"/>
              </w:tabs>
              <w:rPr>
                <w:sz w:val="22"/>
              </w:rPr>
            </w:pPr>
            <w:r>
              <w:rPr>
                <w:sz w:val="22"/>
              </w:rPr>
              <w:t>Trečioji šalis</w:t>
            </w:r>
          </w:p>
        </w:tc>
        <w:tc>
          <w:tcPr>
            <w:tcW w:w="2195" w:type="dxa"/>
            <w:gridSpan w:val="5"/>
            <w:tcBorders>
              <w:right w:val="single" w:sz="6" w:space="0" w:color="auto"/>
            </w:tcBorders>
            <w:shd w:val="clear" w:color="auto" w:fill="FFFFFF"/>
          </w:tcPr>
          <w:p w:rsidR="00BE0861" w:rsidRDefault="00817237">
            <w:pPr>
              <w:keepNext/>
              <w:tabs>
                <w:tab w:val="left" w:pos="2241"/>
              </w:tabs>
              <w:ind w:left="200"/>
              <w:rPr>
                <w:sz w:val="22"/>
              </w:rPr>
            </w:pPr>
            <w:r>
              <w:rPr>
                <w:sz w:val="22"/>
              </w:rPr>
              <w:t xml:space="preserve">ISO kodas </w:t>
            </w:r>
          </w:p>
        </w:tc>
        <w:tc>
          <w:tcPr>
            <w:tcW w:w="4436" w:type="dxa"/>
            <w:gridSpan w:val="10"/>
            <w:vMerge/>
            <w:tcBorders>
              <w:left w:val="single" w:sz="6" w:space="0" w:color="auto"/>
              <w:right w:val="single" w:sz="6" w:space="0" w:color="auto"/>
            </w:tcBorders>
            <w:shd w:val="clear" w:color="auto" w:fill="FFFFFF"/>
          </w:tcPr>
          <w:p w:rsidR="00BE0861" w:rsidRDefault="00BE0861">
            <w:pPr>
              <w:keepNext/>
              <w:rPr>
                <w:sz w:val="22"/>
              </w:rPr>
            </w:pPr>
          </w:p>
        </w:tc>
      </w:tr>
      <w:tr w:rsidR="00BE0861">
        <w:trPr>
          <w:cantSplit/>
          <w:trHeight w:val="80"/>
        </w:trPr>
        <w:tc>
          <w:tcPr>
            <w:tcW w:w="358" w:type="dxa"/>
            <w:vMerge/>
            <w:tcBorders>
              <w:left w:val="nil"/>
              <w:bottom w:val="nil"/>
              <w:right w:val="single" w:sz="6" w:space="0" w:color="auto"/>
            </w:tcBorders>
            <w:shd w:val="clear" w:color="auto" w:fill="FFFFFF"/>
          </w:tcPr>
          <w:p w:rsidR="00BE0861" w:rsidRDefault="00BE0861">
            <w:pPr>
              <w:keepNext/>
              <w:rPr>
                <w:rFonts w:ascii="Arial" w:hAnsi="Arial" w:cs="Arial"/>
                <w:sz w:val="22"/>
              </w:rPr>
            </w:pPr>
          </w:p>
        </w:tc>
        <w:tc>
          <w:tcPr>
            <w:tcW w:w="2162" w:type="dxa"/>
            <w:gridSpan w:val="3"/>
            <w:tcBorders>
              <w:left w:val="single" w:sz="6" w:space="0" w:color="auto"/>
              <w:bottom w:val="single" w:sz="6" w:space="0" w:color="auto"/>
            </w:tcBorders>
            <w:shd w:val="clear" w:color="auto" w:fill="FFFFFF"/>
          </w:tcPr>
          <w:p w:rsidR="00BE0861" w:rsidRDefault="00817237">
            <w:pPr>
              <w:keepNext/>
              <w:tabs>
                <w:tab w:val="left" w:pos="2241"/>
              </w:tabs>
              <w:rPr>
                <w:sz w:val="22"/>
              </w:rPr>
            </w:pPr>
            <w:r>
              <w:rPr>
                <w:sz w:val="22"/>
              </w:rPr>
              <w:t>Išvažiavimo vieta</w:t>
            </w:r>
          </w:p>
        </w:tc>
        <w:tc>
          <w:tcPr>
            <w:tcW w:w="2195" w:type="dxa"/>
            <w:gridSpan w:val="5"/>
            <w:tcBorders>
              <w:bottom w:val="single" w:sz="6" w:space="0" w:color="auto"/>
              <w:right w:val="single" w:sz="6" w:space="0" w:color="auto"/>
            </w:tcBorders>
            <w:shd w:val="clear" w:color="auto" w:fill="FFFFFF"/>
          </w:tcPr>
          <w:p w:rsidR="00BE0861" w:rsidRDefault="00817237">
            <w:pPr>
              <w:keepNext/>
              <w:tabs>
                <w:tab w:val="left" w:pos="2241"/>
              </w:tabs>
              <w:ind w:left="200"/>
              <w:rPr>
                <w:sz w:val="22"/>
              </w:rPr>
            </w:pPr>
            <w:r>
              <w:rPr>
                <w:sz w:val="22"/>
              </w:rPr>
              <w:t>Kodas</w:t>
            </w:r>
          </w:p>
        </w:tc>
        <w:tc>
          <w:tcPr>
            <w:tcW w:w="4436" w:type="dxa"/>
            <w:gridSpan w:val="10"/>
            <w:vMerge/>
            <w:tcBorders>
              <w:left w:val="single" w:sz="6" w:space="0" w:color="auto"/>
              <w:bottom w:val="single" w:sz="6" w:space="0" w:color="auto"/>
              <w:right w:val="single" w:sz="6" w:space="0" w:color="auto"/>
            </w:tcBorders>
            <w:shd w:val="clear" w:color="auto" w:fill="FFFFFF"/>
          </w:tcPr>
          <w:p w:rsidR="00BE0861" w:rsidRDefault="00BE0861">
            <w:pPr>
              <w:keepNext/>
              <w:rPr>
                <w:sz w:val="22"/>
              </w:rPr>
            </w:pP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8793" w:type="dxa"/>
            <w:gridSpan w:val="18"/>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 xml:space="preserve">I.30. Maršruto planas </w:t>
            </w:r>
          </w:p>
          <w:p w:rsidR="00BE0861" w:rsidRDefault="00817237">
            <w:pPr>
              <w:widowControl w:val="0"/>
              <w:ind w:left="441"/>
              <w:rPr>
                <w:rFonts w:ascii="Arial" w:hAnsi="Arial" w:cs="Arial"/>
                <w:sz w:val="22"/>
              </w:rPr>
            </w:pPr>
            <w:r>
              <w:rPr>
                <w:sz w:val="22"/>
              </w:rPr>
              <w:t>Taip [_____]     Ne [_____]</w:t>
            </w:r>
          </w:p>
        </w:tc>
      </w:tr>
      <w:tr w:rsidR="00BE0861">
        <w:trPr>
          <w:cantSplit/>
          <w:trHeight w:val="23"/>
        </w:trPr>
        <w:tc>
          <w:tcPr>
            <w:tcW w:w="358" w:type="dxa"/>
            <w:tcBorders>
              <w:top w:val="nil"/>
              <w:left w:val="nil"/>
              <w:bottom w:val="nil"/>
              <w:right w:val="single" w:sz="6" w:space="0" w:color="auto"/>
            </w:tcBorders>
            <w:shd w:val="clear" w:color="auto" w:fill="FFFFFF"/>
          </w:tcPr>
          <w:p w:rsidR="00BE0861" w:rsidRDefault="00BE0861">
            <w:pPr>
              <w:widowControl w:val="0"/>
              <w:rPr>
                <w:rFonts w:ascii="Arial" w:hAnsi="Arial" w:cs="Arial"/>
                <w:sz w:val="22"/>
              </w:rPr>
            </w:pPr>
          </w:p>
        </w:tc>
        <w:tc>
          <w:tcPr>
            <w:tcW w:w="8793" w:type="dxa"/>
            <w:gridSpan w:val="18"/>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bCs/>
                <w:sz w:val="22"/>
              </w:rPr>
              <w:t>I.31.</w:t>
            </w:r>
            <w:r>
              <w:rPr>
                <w:b/>
                <w:bCs/>
                <w:sz w:val="22"/>
              </w:rPr>
              <w:t xml:space="preserve"> </w:t>
            </w:r>
            <w:r>
              <w:rPr>
                <w:sz w:val="22"/>
              </w:rPr>
              <w:t xml:space="preserve">Prekių identifikavimo duomenys </w:t>
            </w:r>
          </w:p>
          <w:p w:rsidR="00BE0861" w:rsidRDefault="00817237">
            <w:pPr>
              <w:widowControl w:val="0"/>
              <w:ind w:left="441"/>
              <w:rPr>
                <w:rFonts w:ascii="Arial" w:hAnsi="Arial" w:cs="Arial"/>
                <w:sz w:val="22"/>
              </w:rPr>
            </w:pPr>
            <w:r>
              <w:rPr>
                <w:sz w:val="22"/>
              </w:rPr>
              <w:t>Rūšys (Mokslinis pavadinimas)           Identifikavimo sistema</w:t>
            </w:r>
          </w:p>
        </w:tc>
      </w:tr>
    </w:tbl>
    <w:p w:rsidR="00BE0861" w:rsidRDefault="00BE0861"/>
    <w:p w:rsidR="00BE0861" w:rsidRDefault="00BE0861">
      <w:pPr>
        <w:widowControl w:val="0"/>
        <w:rPr>
          <w:rFonts w:ascii="Arial" w:hAnsi="Arial" w:cs="Arial"/>
          <w:sz w:val="20"/>
        </w:rPr>
      </w:pPr>
    </w:p>
    <w:tbl>
      <w:tblPr>
        <w:tblW w:w="9120" w:type="dxa"/>
        <w:tblInd w:w="40" w:type="dxa"/>
        <w:tblLayout w:type="fixed"/>
        <w:tblCellMar>
          <w:left w:w="40" w:type="dxa"/>
          <w:right w:w="40" w:type="dxa"/>
        </w:tblCellMar>
        <w:tblLook w:val="0000" w:firstRow="0" w:lastRow="0" w:firstColumn="0" w:lastColumn="0" w:noHBand="0" w:noVBand="0"/>
      </w:tblPr>
      <w:tblGrid>
        <w:gridCol w:w="360"/>
        <w:gridCol w:w="960"/>
        <w:gridCol w:w="840"/>
        <w:gridCol w:w="960"/>
        <w:gridCol w:w="2880"/>
        <w:gridCol w:w="1680"/>
        <w:gridCol w:w="1440"/>
      </w:tblGrid>
      <w:tr w:rsidR="00BE0861">
        <w:trPr>
          <w:cantSplit/>
          <w:trHeight w:val="23"/>
        </w:trPr>
        <w:tc>
          <w:tcPr>
            <w:tcW w:w="3120" w:type="dxa"/>
            <w:gridSpan w:val="4"/>
            <w:tcBorders>
              <w:top w:val="nil"/>
              <w:left w:val="nil"/>
              <w:bottom w:val="single" w:sz="6" w:space="0" w:color="auto"/>
              <w:right w:val="nil"/>
            </w:tcBorders>
            <w:shd w:val="clear" w:color="auto" w:fill="FFFFFF"/>
            <w:vAlign w:val="bottom"/>
          </w:tcPr>
          <w:p w:rsidR="00BE0861" w:rsidRDefault="00817237">
            <w:pPr>
              <w:widowControl w:val="0"/>
              <w:rPr>
                <w:sz w:val="22"/>
              </w:rPr>
            </w:pPr>
            <w:r>
              <w:rPr>
                <w:b/>
                <w:bCs/>
                <w:sz w:val="22"/>
              </w:rPr>
              <w:t>EUROPOS BENDRIJA</w:t>
            </w:r>
          </w:p>
        </w:tc>
        <w:tc>
          <w:tcPr>
            <w:tcW w:w="6000" w:type="dxa"/>
            <w:gridSpan w:val="3"/>
            <w:tcBorders>
              <w:top w:val="nil"/>
              <w:left w:val="nil"/>
              <w:bottom w:val="single" w:sz="6" w:space="0" w:color="auto"/>
              <w:right w:val="nil"/>
            </w:tcBorders>
            <w:shd w:val="clear" w:color="auto" w:fill="FFFFFF"/>
          </w:tcPr>
          <w:p w:rsidR="00BE0861" w:rsidRDefault="00817237">
            <w:pPr>
              <w:widowControl w:val="0"/>
              <w:jc w:val="right"/>
              <w:rPr>
                <w:sz w:val="22"/>
              </w:rPr>
            </w:pPr>
            <w:r>
              <w:rPr>
                <w:b/>
                <w:bCs/>
                <w:sz w:val="22"/>
              </w:rPr>
              <w:t>Registruoti arklinių šeimos gyvūnai, veislei ir produkcijai skirti arklinių šeimos gyvūnai, skerstini arklinių šeimos gyvūnai</w:t>
            </w:r>
          </w:p>
        </w:tc>
      </w:tr>
      <w:tr w:rsidR="00BE0861">
        <w:trPr>
          <w:cantSplit/>
          <w:trHeight w:val="23"/>
        </w:trPr>
        <w:tc>
          <w:tcPr>
            <w:tcW w:w="360" w:type="dxa"/>
            <w:vMerge w:val="restart"/>
            <w:tcBorders>
              <w:top w:val="single" w:sz="6" w:space="0" w:color="auto"/>
              <w:left w:val="single" w:sz="6" w:space="0" w:color="auto"/>
              <w:right w:val="single" w:sz="6" w:space="0" w:color="auto"/>
            </w:tcBorders>
            <w:shd w:val="clear" w:color="auto" w:fill="FFFFFF"/>
            <w:textDirection w:val="btLr"/>
          </w:tcPr>
          <w:p w:rsidR="00BE0861" w:rsidRDefault="00817237">
            <w:pPr>
              <w:widowControl w:val="0"/>
              <w:jc w:val="center"/>
              <w:rPr>
                <w:sz w:val="22"/>
              </w:rPr>
            </w:pPr>
            <w:r>
              <w:rPr>
                <w:b/>
                <w:bCs/>
                <w:sz w:val="22"/>
              </w:rPr>
              <w:t>II dalis. Sertifikavimas</w:t>
            </w:r>
          </w:p>
        </w:tc>
        <w:tc>
          <w:tcPr>
            <w:tcW w:w="960" w:type="dxa"/>
            <w:tcBorders>
              <w:top w:val="single" w:sz="6" w:space="0" w:color="auto"/>
              <w:left w:val="single" w:sz="6" w:space="0" w:color="auto"/>
              <w:bottom w:val="nil"/>
              <w:right w:val="nil"/>
            </w:tcBorders>
            <w:shd w:val="clear" w:color="auto" w:fill="FFFFFF"/>
          </w:tcPr>
          <w:p w:rsidR="00BE0861" w:rsidRDefault="00817237">
            <w:pPr>
              <w:widowControl w:val="0"/>
              <w:rPr>
                <w:sz w:val="22"/>
              </w:rPr>
            </w:pPr>
            <w:r>
              <w:rPr>
                <w:sz w:val="22"/>
              </w:rPr>
              <w:t>II.</w:t>
            </w:r>
          </w:p>
        </w:tc>
        <w:tc>
          <w:tcPr>
            <w:tcW w:w="4680" w:type="dxa"/>
            <w:gridSpan w:val="3"/>
            <w:tcBorders>
              <w:top w:val="single" w:sz="6" w:space="0" w:color="auto"/>
              <w:left w:val="nil"/>
              <w:bottom w:val="nil"/>
              <w:right w:val="single" w:sz="6" w:space="0" w:color="auto"/>
            </w:tcBorders>
            <w:shd w:val="clear" w:color="auto" w:fill="FFFFFF"/>
          </w:tcPr>
          <w:p w:rsidR="00BE0861" w:rsidRDefault="00817237">
            <w:pPr>
              <w:widowControl w:val="0"/>
              <w:rPr>
                <w:sz w:val="22"/>
              </w:rPr>
            </w:pPr>
            <w:r>
              <w:rPr>
                <w:b/>
                <w:bCs/>
                <w:sz w:val="22"/>
              </w:rPr>
              <w:t xml:space="preserve">Informacija apie sveikatą </w:t>
            </w:r>
            <w:r>
              <w:rPr>
                <w:sz w:val="22"/>
              </w:rPr>
              <w:t>(</w:t>
            </w:r>
            <w:r>
              <w:rPr>
                <w:sz w:val="22"/>
                <w:vertAlign w:val="superscript"/>
              </w:rPr>
              <w:t>1</w:t>
            </w:r>
            <w:r>
              <w:rPr>
                <w:sz w:val="22"/>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proofErr w:type="spellStart"/>
            <w:r>
              <w:rPr>
                <w:sz w:val="22"/>
              </w:rPr>
              <w:t>II.a</w:t>
            </w:r>
            <w:proofErr w:type="spellEnd"/>
            <w:r>
              <w:rPr>
                <w:sz w:val="22"/>
              </w:rPr>
              <w:t>. Sertifikato numeris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proofErr w:type="spellStart"/>
            <w:r>
              <w:rPr>
                <w:sz w:val="22"/>
              </w:rPr>
              <w:t>II.b</w:t>
            </w:r>
            <w:proofErr w:type="spellEnd"/>
            <w:r>
              <w:rPr>
                <w:sz w:val="22"/>
              </w:rPr>
              <w:t>. Vietos numeris</w:t>
            </w:r>
          </w:p>
        </w:tc>
      </w:tr>
      <w:tr w:rsidR="00BE0861">
        <w:trPr>
          <w:cantSplit/>
          <w:trHeight w:val="23"/>
        </w:trPr>
        <w:tc>
          <w:tcPr>
            <w:tcW w:w="360" w:type="dxa"/>
            <w:vMerge/>
            <w:tcBorders>
              <w:left w:val="single" w:sz="6" w:space="0" w:color="auto"/>
              <w:right w:val="single" w:sz="6" w:space="0" w:color="auto"/>
            </w:tcBorders>
            <w:shd w:val="clear" w:color="auto" w:fill="FFFFFF"/>
          </w:tcPr>
          <w:p w:rsidR="00BE0861" w:rsidRDefault="00BE0861">
            <w:pPr>
              <w:widowControl w:val="0"/>
              <w:rPr>
                <w:sz w:val="22"/>
              </w:rPr>
            </w:pPr>
          </w:p>
        </w:tc>
        <w:tc>
          <w:tcPr>
            <w:tcW w:w="8760" w:type="dxa"/>
            <w:gridSpan w:val="6"/>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Aš, toliau pasirašęs, patvirtinu, kad aprašytasis (-</w:t>
            </w:r>
            <w:proofErr w:type="spellStart"/>
            <w:r>
              <w:rPr>
                <w:sz w:val="22"/>
              </w:rPr>
              <w:t>ieji</w:t>
            </w:r>
            <w:proofErr w:type="spellEnd"/>
            <w:r>
              <w:rPr>
                <w:sz w:val="22"/>
              </w:rPr>
              <w:t>) gyvūnas (-ai) atitinka šiuos reikalavimus:</w:t>
            </w:r>
          </w:p>
        </w:tc>
      </w:tr>
      <w:tr w:rsidR="00BE0861">
        <w:trPr>
          <w:cantSplit/>
          <w:trHeight w:val="23"/>
        </w:trPr>
        <w:tc>
          <w:tcPr>
            <w:tcW w:w="360" w:type="dxa"/>
            <w:vMerge/>
            <w:tcBorders>
              <w:left w:val="single" w:sz="6" w:space="0" w:color="auto"/>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II.1.</w:t>
            </w:r>
          </w:p>
        </w:tc>
        <w:tc>
          <w:tcPr>
            <w:tcW w:w="696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jis (jie) buvo apžiūrėtas (-i) šiandien ir nepastebėta jokių klinikinių ligos požymių;</w:t>
            </w:r>
          </w:p>
        </w:tc>
      </w:tr>
      <w:tr w:rsidR="00BE0861">
        <w:trPr>
          <w:cantSplit/>
          <w:trHeight w:val="23"/>
        </w:trPr>
        <w:tc>
          <w:tcPr>
            <w:tcW w:w="360" w:type="dxa"/>
            <w:vMerge/>
            <w:tcBorders>
              <w:left w:val="single" w:sz="6" w:space="0" w:color="auto"/>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II.2.</w:t>
            </w:r>
          </w:p>
        </w:tc>
        <w:tc>
          <w:tcPr>
            <w:tcW w:w="696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jo (jų) nenumatyta skersti pagal nacionalinę užkrečiamųjų ar infekcinių ligų likvidavimo programą;</w:t>
            </w:r>
          </w:p>
        </w:tc>
      </w:tr>
      <w:tr w:rsidR="00BE0861">
        <w:trPr>
          <w:cantSplit/>
          <w:trHeight w:val="23"/>
        </w:trPr>
        <w:tc>
          <w:tcPr>
            <w:tcW w:w="360"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840" w:type="dxa"/>
            <w:tcBorders>
              <w:top w:val="nil"/>
              <w:left w:val="nil"/>
              <w:bottom w:val="nil"/>
              <w:right w:val="nil"/>
            </w:tcBorders>
            <w:shd w:val="clear" w:color="auto" w:fill="FFFFFF"/>
          </w:tcPr>
          <w:p w:rsidR="00BE0861" w:rsidRDefault="00817237">
            <w:pPr>
              <w:widowControl w:val="0"/>
              <w:rPr>
                <w:sz w:val="22"/>
              </w:rPr>
            </w:pPr>
            <w:r>
              <w:rPr>
                <w:bCs/>
                <w:sz w:val="22"/>
              </w:rPr>
              <w:t>[II</w:t>
            </w:r>
            <w:r>
              <w:rPr>
                <w:sz w:val="22"/>
              </w:rPr>
              <w:t>.3.</w:t>
            </w:r>
          </w:p>
        </w:tc>
        <w:tc>
          <w:tcPr>
            <w:tcW w:w="696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jis (jie) nėra iš valstybės narės teritorijos ar jos teritorijos dalies, kuriai taikomi apribojimai dėl afrikinės arklių ligos;]</w:t>
            </w:r>
          </w:p>
        </w:tc>
      </w:tr>
      <w:tr w:rsidR="00BE0861">
        <w:trPr>
          <w:cantSplit/>
          <w:trHeight w:val="23"/>
        </w:trPr>
        <w:tc>
          <w:tcPr>
            <w:tcW w:w="360" w:type="dxa"/>
            <w:vMerge/>
            <w:tcBorders>
              <w:left w:val="single" w:sz="6" w:space="0" w:color="auto"/>
              <w:right w:val="single" w:sz="6" w:space="0" w:color="auto"/>
            </w:tcBorders>
            <w:shd w:val="clear" w:color="auto" w:fill="FFFFFF"/>
            <w:textDirection w:val="btLr"/>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840" w:type="dxa"/>
            <w:tcBorders>
              <w:top w:val="nil"/>
              <w:left w:val="nil"/>
              <w:bottom w:val="nil"/>
              <w:right w:val="nil"/>
            </w:tcBorders>
            <w:shd w:val="clear" w:color="auto" w:fill="FFFFFF"/>
          </w:tcPr>
          <w:p w:rsidR="00BE0861" w:rsidRDefault="00817237">
            <w:pPr>
              <w:widowControl w:val="0"/>
              <w:rPr>
                <w:sz w:val="22"/>
              </w:rPr>
            </w:pPr>
            <w:r>
              <w:rPr>
                <w:bCs/>
                <w:sz w:val="22"/>
              </w:rPr>
              <w:t>[II</w:t>
            </w:r>
            <w:r>
              <w:rPr>
                <w:sz w:val="22"/>
              </w:rPr>
              <w:t>.3.</w:t>
            </w:r>
          </w:p>
        </w:tc>
        <w:tc>
          <w:tcPr>
            <w:tcW w:w="6960" w:type="dxa"/>
            <w:gridSpan w:val="4"/>
            <w:tcBorders>
              <w:top w:val="nil"/>
              <w:left w:val="nil"/>
              <w:bottom w:val="nil"/>
              <w:right w:val="single" w:sz="6" w:space="0" w:color="auto"/>
            </w:tcBorders>
            <w:shd w:val="clear" w:color="auto" w:fill="FFFFFF"/>
          </w:tcPr>
          <w:p w:rsidR="00BE0861" w:rsidRDefault="00817237">
            <w:pPr>
              <w:widowControl w:val="0"/>
              <w:tabs>
                <w:tab w:val="left" w:leader="dot" w:pos="2299"/>
                <w:tab w:val="left" w:leader="dot" w:pos="6091"/>
              </w:tabs>
              <w:rPr>
                <w:sz w:val="22"/>
              </w:rPr>
            </w:pPr>
            <w:r>
              <w:rPr>
                <w:sz w:val="22"/>
              </w:rPr>
              <w:t xml:space="preserve">jis (jis) yra iš valstybės narės teritorijos ar jos teritorijos dalies, kuriai taikomi apribojimai dėl afrikinės arklių ligos, ir iki išsiuntimo bent 40 dienų buvo nuo ligas pernešančių vabzdžių apsaugotoje ............................ karantino stotyje, ir jam (jiems) atliktas tyrimas afrikinės arklių ligos viruso </w:t>
            </w:r>
            <w:proofErr w:type="spellStart"/>
            <w:r>
              <w:rPr>
                <w:sz w:val="22"/>
              </w:rPr>
              <w:t>antikūniams</w:t>
            </w:r>
            <w:proofErr w:type="spellEnd"/>
            <w:r>
              <w:rPr>
                <w:sz w:val="22"/>
              </w:rPr>
              <w:t xml:space="preserve"> nustatyti, kaip aprašyta Direktyvos 2009/156/EB IV priede, vienu metu tiriant du kraujo mėginius, paimtus su 21-30 dienų laiko tarpu – ...................... </w:t>
            </w:r>
            <w:r>
              <w:rPr>
                <w:i/>
                <w:iCs/>
                <w:sz w:val="22"/>
              </w:rPr>
              <w:t xml:space="preserve">(įrašyti datą) </w:t>
            </w:r>
            <w:r>
              <w:rPr>
                <w:sz w:val="22"/>
              </w:rPr>
              <w:t xml:space="preserve">ir per 10 dienų iki išsiuntimo – ...................... </w:t>
            </w:r>
            <w:r>
              <w:rPr>
                <w:i/>
                <w:iCs/>
                <w:sz w:val="22"/>
              </w:rPr>
              <w:t>(įrašyti datą);</w:t>
            </w:r>
          </w:p>
        </w:tc>
      </w:tr>
      <w:tr w:rsidR="00BE0861">
        <w:trPr>
          <w:cantSplit/>
          <w:trHeight w:val="23"/>
        </w:trPr>
        <w:tc>
          <w:tcPr>
            <w:tcW w:w="360" w:type="dxa"/>
            <w:vMerge/>
            <w:tcBorders>
              <w:left w:val="single" w:sz="6" w:space="0" w:color="auto"/>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3</w:t>
            </w:r>
            <w:r>
              <w:rPr>
                <w:sz w:val="22"/>
              </w:rPr>
              <w:t>)</w:t>
            </w:r>
          </w:p>
        </w:tc>
        <w:tc>
          <w:tcPr>
            <w:tcW w:w="6000" w:type="dxa"/>
            <w:gridSpan w:val="3"/>
            <w:tcBorders>
              <w:left w:val="nil"/>
              <w:bottom w:val="nil"/>
              <w:right w:val="single" w:sz="6" w:space="0" w:color="auto"/>
            </w:tcBorders>
            <w:shd w:val="clear" w:color="auto" w:fill="FFFFFF"/>
          </w:tcPr>
          <w:p w:rsidR="00BE0861" w:rsidRDefault="00817237">
            <w:pPr>
              <w:widowControl w:val="0"/>
              <w:rPr>
                <w:sz w:val="22"/>
              </w:rPr>
            </w:pPr>
            <w:r>
              <w:rPr>
                <w:sz w:val="22"/>
              </w:rPr>
              <w:t>[abiem atvejais esant neigiamiems rezultatams, jei jis (jie) nebuvo paskiepytas (-i) nuo afrikinės arklių ligos;]</w:t>
            </w:r>
          </w:p>
        </w:tc>
      </w:tr>
      <w:tr w:rsidR="00BE0861">
        <w:trPr>
          <w:cantSplit/>
          <w:trHeight w:val="23"/>
        </w:trPr>
        <w:tc>
          <w:tcPr>
            <w:tcW w:w="360" w:type="dxa"/>
            <w:vMerge/>
            <w:tcBorders>
              <w:left w:val="single" w:sz="6" w:space="0" w:color="auto"/>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[nenustačius </w:t>
            </w:r>
            <w:proofErr w:type="spellStart"/>
            <w:r>
              <w:rPr>
                <w:sz w:val="22"/>
              </w:rPr>
              <w:t>antikūnių</w:t>
            </w:r>
            <w:proofErr w:type="spellEnd"/>
            <w:r>
              <w:rPr>
                <w:sz w:val="22"/>
              </w:rPr>
              <w:t xml:space="preserve"> skaičiaus padidėjimo, jei jis (jie) buvo paskiepytas (-i) nuo afrikinės arklių ligos;]</w:t>
            </w:r>
          </w:p>
        </w:tc>
      </w:tr>
      <w:tr w:rsidR="00BE0861">
        <w:trPr>
          <w:cantSplit/>
          <w:trHeight w:val="23"/>
        </w:trPr>
        <w:tc>
          <w:tcPr>
            <w:tcW w:w="360" w:type="dxa"/>
            <w:vMerge/>
            <w:tcBorders>
              <w:left w:val="single" w:sz="6" w:space="0" w:color="auto"/>
              <w:bottom w:val="single" w:sz="4" w:space="0" w:color="auto"/>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3</w:t>
            </w:r>
            <w:r>
              <w:rPr>
                <w:sz w:val="22"/>
              </w:rPr>
              <w:t>)</w:t>
            </w: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[II.4.</w:t>
            </w:r>
          </w:p>
        </w:tc>
        <w:tc>
          <w:tcPr>
            <w:tcW w:w="696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jis (jie) nėra skiepytas (-i) nuo afrikinės arklių ligos;]</w:t>
            </w:r>
          </w:p>
        </w:tc>
      </w:tr>
      <w:tr w:rsidR="00BE0861">
        <w:trPr>
          <w:cantSplit/>
          <w:trHeight w:val="23"/>
        </w:trPr>
        <w:tc>
          <w:tcPr>
            <w:tcW w:w="360" w:type="dxa"/>
            <w:tcBorders>
              <w:top w:val="single" w:sz="4" w:space="0" w:color="auto"/>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[II.4.</w:t>
            </w:r>
          </w:p>
        </w:tc>
        <w:tc>
          <w:tcPr>
            <w:tcW w:w="6960" w:type="dxa"/>
            <w:gridSpan w:val="4"/>
            <w:tcBorders>
              <w:top w:val="nil"/>
              <w:left w:val="nil"/>
              <w:bottom w:val="nil"/>
              <w:right w:val="single" w:sz="6" w:space="0" w:color="auto"/>
            </w:tcBorders>
            <w:shd w:val="clear" w:color="auto" w:fill="FFFFFF"/>
          </w:tcPr>
          <w:p w:rsidR="00BE0861" w:rsidRDefault="00817237">
            <w:pPr>
              <w:widowControl w:val="0"/>
              <w:tabs>
                <w:tab w:val="left" w:leader="dot" w:pos="3701"/>
              </w:tabs>
              <w:rPr>
                <w:sz w:val="22"/>
              </w:rPr>
            </w:pPr>
            <w:r>
              <w:rPr>
                <w:sz w:val="22"/>
              </w:rPr>
              <w:t xml:space="preserve">jis (jie) paskiepytas (-i) nuo afrikinės arklių ligos ........................ </w:t>
            </w:r>
            <w:r>
              <w:rPr>
                <w:i/>
                <w:iCs/>
                <w:sz w:val="22"/>
              </w:rPr>
              <w:t>(įrašyti datą),</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3</w:t>
            </w:r>
            <w:r>
              <w:rPr>
                <w:sz w:val="22"/>
              </w:rPr>
              <w:t>)</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[bent du mėnesius iki sertifikavimo;]</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[bent du mėnesius iki atvežimo į karantino stotį;]</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II.5.</w:t>
            </w:r>
          </w:p>
        </w:tc>
        <w:tc>
          <w:tcPr>
            <w:tcW w:w="696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jis (jie) nėra iš ūkio (ūkių), kuriam (-</w:t>
            </w:r>
            <w:proofErr w:type="spellStart"/>
            <w:r>
              <w:rPr>
                <w:sz w:val="22"/>
              </w:rPr>
              <w:t>iems</w:t>
            </w:r>
            <w:proofErr w:type="spellEnd"/>
            <w:r>
              <w:rPr>
                <w:sz w:val="22"/>
              </w:rPr>
              <w:t>) dėl su gyvūnų sveikata susijusių priežasčių buvo taikytas draudimo įsakymas, kuriuo nustatoma bent viena toliau nurodytų sąlygų:</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3</w:t>
            </w:r>
            <w:r>
              <w:rPr>
                <w:sz w:val="22"/>
              </w:rPr>
              <w:t>)</w:t>
            </w:r>
          </w:p>
        </w:tc>
        <w:tc>
          <w:tcPr>
            <w:tcW w:w="696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[ne visi bent: a–g punktuose nurodytoms ligoms imlių rūšių gyvūnai, buvę ūkyje, vėliau buvo paskersti ir draudimas buvo taikomas</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a)</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arklinių šeimos gyvūnams, įtariamiems užsikrėtus kergimo liga</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[šešis mėnesius, skaičiuojant nuo paskutinio buvusio ar galimo kontakto su </w:t>
            </w:r>
            <w:proofErr w:type="spellStart"/>
            <w:r>
              <w:rPr>
                <w:i/>
                <w:iCs/>
                <w:sz w:val="22"/>
              </w:rPr>
              <w:t>Trypanosoma</w:t>
            </w:r>
            <w:proofErr w:type="spellEnd"/>
            <w:r>
              <w:rPr>
                <w:i/>
                <w:iCs/>
                <w:sz w:val="22"/>
              </w:rPr>
              <w:t xml:space="preserve"> </w:t>
            </w:r>
            <w:proofErr w:type="spellStart"/>
            <w:r>
              <w:rPr>
                <w:i/>
                <w:iCs/>
                <w:sz w:val="22"/>
              </w:rPr>
              <w:t>equiperdum</w:t>
            </w:r>
            <w:proofErr w:type="spellEnd"/>
            <w:r>
              <w:rPr>
                <w:i/>
                <w:iCs/>
                <w:sz w:val="22"/>
              </w:rPr>
              <w:t xml:space="preserve"> </w:t>
            </w:r>
            <w:r>
              <w:rPr>
                <w:sz w:val="22"/>
              </w:rPr>
              <w:t>sergančiu ar infekuotu gyvūnu dienos;]</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[eržilų atveju iki gyvūno iškastravimo;]</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b)</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šešis mėnesius įnosių atveju, skaičiuojant nuo šia liga sergančių arklinių šeimos gyvūnų ar šios šeimos gyvūnų, kurių tyrimo </w:t>
            </w:r>
            <w:proofErr w:type="spellStart"/>
            <w:r>
              <w:rPr>
                <w:i/>
                <w:iCs/>
                <w:sz w:val="22"/>
              </w:rPr>
              <w:t>Burkholderia</w:t>
            </w:r>
            <w:proofErr w:type="spellEnd"/>
            <w:r>
              <w:rPr>
                <w:i/>
                <w:iCs/>
                <w:sz w:val="22"/>
              </w:rPr>
              <w:t xml:space="preserve"> </w:t>
            </w:r>
            <w:proofErr w:type="spellStart"/>
            <w:r>
              <w:rPr>
                <w:i/>
                <w:iCs/>
                <w:sz w:val="22"/>
              </w:rPr>
              <w:t>mallei</w:t>
            </w:r>
            <w:proofErr w:type="spellEnd"/>
            <w:r>
              <w:rPr>
                <w:i/>
                <w:iCs/>
                <w:sz w:val="22"/>
              </w:rPr>
              <w:t xml:space="preserve"> </w:t>
            </w:r>
            <w:r>
              <w:rPr>
                <w:sz w:val="22"/>
              </w:rPr>
              <w:t xml:space="preserve">ligos </w:t>
            </w:r>
            <w:proofErr w:type="spellStart"/>
            <w:r>
              <w:rPr>
                <w:sz w:val="22"/>
              </w:rPr>
              <w:t>patogenui</w:t>
            </w:r>
            <w:proofErr w:type="spellEnd"/>
            <w:r>
              <w:rPr>
                <w:sz w:val="22"/>
              </w:rPr>
              <w:t xml:space="preserve"> ar to </w:t>
            </w:r>
            <w:proofErr w:type="spellStart"/>
            <w:r>
              <w:rPr>
                <w:sz w:val="22"/>
              </w:rPr>
              <w:t>patogeno</w:t>
            </w:r>
            <w:proofErr w:type="spellEnd"/>
            <w:r>
              <w:rPr>
                <w:sz w:val="22"/>
              </w:rPr>
              <w:t xml:space="preserve"> </w:t>
            </w:r>
            <w:proofErr w:type="spellStart"/>
            <w:r>
              <w:rPr>
                <w:sz w:val="22"/>
              </w:rPr>
              <w:t>antikūniams</w:t>
            </w:r>
            <w:proofErr w:type="spellEnd"/>
            <w:r>
              <w:rPr>
                <w:sz w:val="22"/>
              </w:rPr>
              <w:t xml:space="preserve"> nustatyti rezultatai teigiami, paskerdimo ir sunaikinimo dienos;</w:t>
            </w:r>
          </w:p>
        </w:tc>
      </w:tr>
      <w:tr w:rsidR="00BE0861">
        <w:trPr>
          <w:cantSplit/>
          <w:trHeight w:val="23"/>
        </w:trPr>
        <w:tc>
          <w:tcPr>
            <w:tcW w:w="360" w:type="dxa"/>
            <w:tcBorders>
              <w:top w:val="nil"/>
              <w:left w:val="nil"/>
              <w:bottom w:val="nil"/>
              <w:right w:val="single" w:sz="6" w:space="0" w:color="auto"/>
            </w:tcBorders>
            <w:shd w:val="clear" w:color="auto" w:fill="FFFFFF"/>
          </w:tcPr>
          <w:p w:rsidR="00BE0861" w:rsidRDefault="00BE0861">
            <w:pPr>
              <w:widowControl w:val="0"/>
              <w:rPr>
                <w:sz w:val="22"/>
              </w:rPr>
            </w:pPr>
          </w:p>
        </w:tc>
        <w:tc>
          <w:tcPr>
            <w:tcW w:w="960" w:type="dxa"/>
            <w:tcBorders>
              <w:top w:val="nil"/>
              <w:left w:val="single" w:sz="6" w:space="0" w:color="auto"/>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c)</w:t>
            </w:r>
          </w:p>
        </w:tc>
        <w:tc>
          <w:tcPr>
            <w:tcW w:w="600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šešis mėnesius visų rūšių arklių </w:t>
            </w:r>
            <w:proofErr w:type="spellStart"/>
            <w:r>
              <w:rPr>
                <w:sz w:val="22"/>
              </w:rPr>
              <w:t>encefalomielito</w:t>
            </w:r>
            <w:proofErr w:type="spellEnd"/>
            <w:r>
              <w:rPr>
                <w:sz w:val="22"/>
              </w:rPr>
              <w:t xml:space="preserve"> atveju, skaičiuojant nuo šia liga sergančio arklinių šeimos gyvūno paskerdimo, išskyrus Vakarų Nilo virusinės infekcijos atvejį, kai šešių mėnesių laikotarpis prasideda nuo užsikrėtusio arklinių šeimos gyvūno mirties, išvežimo iš ūkio arba visiško pasveikimo dienos;</w:t>
            </w:r>
          </w:p>
        </w:tc>
      </w:tr>
    </w:tbl>
    <w:p w:rsidR="00BE0861" w:rsidRDefault="00BE0861"/>
    <w:tbl>
      <w:tblPr>
        <w:tblW w:w="9120" w:type="dxa"/>
        <w:tblInd w:w="40" w:type="dxa"/>
        <w:tblLayout w:type="fixed"/>
        <w:tblCellMar>
          <w:left w:w="40" w:type="dxa"/>
          <w:right w:w="40" w:type="dxa"/>
        </w:tblCellMar>
        <w:tblLook w:val="0000" w:firstRow="0" w:lastRow="0" w:firstColumn="0" w:lastColumn="0" w:noHBand="0" w:noVBand="0"/>
      </w:tblPr>
      <w:tblGrid>
        <w:gridCol w:w="360"/>
        <w:gridCol w:w="960"/>
        <w:gridCol w:w="840"/>
        <w:gridCol w:w="960"/>
        <w:gridCol w:w="1680"/>
        <w:gridCol w:w="1133"/>
        <w:gridCol w:w="1599"/>
        <w:gridCol w:w="1588"/>
      </w:tblGrid>
      <w:tr w:rsidR="00BE0861">
        <w:trPr>
          <w:cantSplit/>
          <w:trHeight w:val="23"/>
        </w:trPr>
        <w:tc>
          <w:tcPr>
            <w:tcW w:w="3120" w:type="dxa"/>
            <w:gridSpan w:val="4"/>
            <w:tcBorders>
              <w:top w:val="nil"/>
              <w:left w:val="nil"/>
              <w:bottom w:val="single" w:sz="6" w:space="0" w:color="auto"/>
              <w:right w:val="nil"/>
            </w:tcBorders>
            <w:shd w:val="clear" w:color="auto" w:fill="FFFFFF"/>
            <w:vAlign w:val="bottom"/>
          </w:tcPr>
          <w:p w:rsidR="00BE0861" w:rsidRDefault="00817237">
            <w:pPr>
              <w:widowControl w:val="0"/>
              <w:rPr>
                <w:sz w:val="22"/>
              </w:rPr>
            </w:pPr>
            <w:r>
              <w:rPr>
                <w:b/>
                <w:bCs/>
                <w:sz w:val="22"/>
              </w:rPr>
              <w:t>EUROPOS BENDRIJA</w:t>
            </w:r>
          </w:p>
        </w:tc>
        <w:tc>
          <w:tcPr>
            <w:tcW w:w="6000" w:type="dxa"/>
            <w:gridSpan w:val="4"/>
            <w:tcBorders>
              <w:top w:val="nil"/>
              <w:left w:val="nil"/>
              <w:bottom w:val="single" w:sz="6" w:space="0" w:color="auto"/>
              <w:right w:val="nil"/>
            </w:tcBorders>
            <w:shd w:val="clear" w:color="auto" w:fill="FFFFFF"/>
          </w:tcPr>
          <w:p w:rsidR="00BE0861" w:rsidRDefault="00817237">
            <w:pPr>
              <w:widowControl w:val="0"/>
              <w:jc w:val="right"/>
              <w:rPr>
                <w:sz w:val="22"/>
              </w:rPr>
            </w:pPr>
            <w:r>
              <w:rPr>
                <w:b/>
                <w:bCs/>
                <w:sz w:val="22"/>
              </w:rPr>
              <w:t>Registruoti arklinių šeimos gyvūnai, veislei ir produkcijai skirti arklinių šeimos gyvūnai, skerstini arklinių šeimos gyvūnai</w:t>
            </w:r>
          </w:p>
        </w:tc>
      </w:tr>
      <w:tr w:rsidR="00BE0861">
        <w:trPr>
          <w:cantSplit/>
          <w:trHeight w:val="19"/>
        </w:trPr>
        <w:tc>
          <w:tcPr>
            <w:tcW w:w="5933" w:type="dxa"/>
            <w:gridSpan w:val="6"/>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b/>
                <w:bCs/>
                <w:sz w:val="22"/>
              </w:rPr>
              <w:t xml:space="preserve">II. Informacija apie sveikatą </w:t>
            </w:r>
            <w:r>
              <w:rPr>
                <w:sz w:val="22"/>
              </w:rPr>
              <w:t>(</w:t>
            </w:r>
            <w:r>
              <w:rPr>
                <w:sz w:val="22"/>
                <w:vertAlign w:val="superscript"/>
              </w:rPr>
              <w:t>1</w:t>
            </w:r>
            <w:r>
              <w:rPr>
                <w:sz w:val="22"/>
              </w:rPr>
              <w:t>)</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proofErr w:type="spellStart"/>
            <w:r>
              <w:rPr>
                <w:sz w:val="22"/>
              </w:rPr>
              <w:t>II.a</w:t>
            </w:r>
            <w:proofErr w:type="spellEnd"/>
            <w:r>
              <w:rPr>
                <w:sz w:val="22"/>
              </w:rPr>
              <w:t>. Sertifikato numeris</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BE0861" w:rsidRDefault="00817237">
            <w:pPr>
              <w:widowControl w:val="0"/>
              <w:rPr>
                <w:sz w:val="22"/>
              </w:rPr>
            </w:pPr>
            <w:proofErr w:type="spellStart"/>
            <w:r>
              <w:rPr>
                <w:sz w:val="22"/>
              </w:rPr>
              <w:t>II.b</w:t>
            </w:r>
            <w:proofErr w:type="spellEnd"/>
            <w:r>
              <w:rPr>
                <w:sz w:val="22"/>
              </w:rPr>
              <w:t>. Vietos numeris</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d)</w:t>
            </w:r>
          </w:p>
        </w:tc>
        <w:tc>
          <w:tcPr>
            <w:tcW w:w="600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infekcinės anemijos atveju iki tos dienos, kurią, paskerdus užsikrėtusius gyvūnus, likusiems gyvūnams atlikus su trijų mėnesių tarpu paimtų dviejų kraujo mėginių </w:t>
            </w:r>
            <w:proofErr w:type="spellStart"/>
            <w:r>
              <w:rPr>
                <w:sz w:val="22"/>
              </w:rPr>
              <w:t>Coggins</w:t>
            </w:r>
            <w:proofErr w:type="spellEnd"/>
            <w:r>
              <w:rPr>
                <w:sz w:val="22"/>
              </w:rPr>
              <w:t xml:space="preserve"> tyrimą, nustatyta, jog abiejų tyrimų rezultatai yra neigiami;</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e)</w:t>
            </w:r>
          </w:p>
        </w:tc>
        <w:tc>
          <w:tcPr>
            <w:tcW w:w="600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šešis mėnesius nuo paskutinio </w:t>
            </w:r>
            <w:proofErr w:type="spellStart"/>
            <w:r>
              <w:rPr>
                <w:sz w:val="22"/>
              </w:rPr>
              <w:t>vezikulinio</w:t>
            </w:r>
            <w:proofErr w:type="spellEnd"/>
            <w:r>
              <w:rPr>
                <w:sz w:val="22"/>
              </w:rPr>
              <w:t xml:space="preserve"> stomatito atvejo;</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f)</w:t>
            </w:r>
          </w:p>
        </w:tc>
        <w:tc>
          <w:tcPr>
            <w:tcW w:w="600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vieną mėnesį nuo paskutinio pasiutligės atvejo;</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BE0861">
            <w:pPr>
              <w:widowControl w:val="0"/>
              <w:rPr>
                <w:sz w:val="22"/>
              </w:rPr>
            </w:pPr>
          </w:p>
        </w:tc>
        <w:tc>
          <w:tcPr>
            <w:tcW w:w="960" w:type="dxa"/>
            <w:tcBorders>
              <w:top w:val="nil"/>
              <w:left w:val="nil"/>
              <w:bottom w:val="nil"/>
              <w:right w:val="nil"/>
            </w:tcBorders>
            <w:shd w:val="clear" w:color="auto" w:fill="FFFFFF"/>
          </w:tcPr>
          <w:p w:rsidR="00BE0861" w:rsidRDefault="00817237">
            <w:pPr>
              <w:widowControl w:val="0"/>
              <w:rPr>
                <w:sz w:val="22"/>
              </w:rPr>
            </w:pPr>
            <w:r>
              <w:rPr>
                <w:sz w:val="22"/>
              </w:rPr>
              <w:t>g)</w:t>
            </w:r>
          </w:p>
        </w:tc>
        <w:tc>
          <w:tcPr>
            <w:tcW w:w="6000" w:type="dxa"/>
            <w:gridSpan w:val="4"/>
            <w:tcBorders>
              <w:top w:val="nil"/>
              <w:left w:val="nil"/>
              <w:bottom w:val="nil"/>
              <w:right w:val="single" w:sz="6" w:space="0" w:color="auto"/>
            </w:tcBorders>
            <w:shd w:val="clear" w:color="auto" w:fill="FFFFFF"/>
          </w:tcPr>
          <w:p w:rsidR="00BE0861" w:rsidRDefault="00817237">
            <w:pPr>
              <w:widowControl w:val="0"/>
              <w:rPr>
                <w:sz w:val="22"/>
              </w:rPr>
            </w:pPr>
            <w:r>
              <w:rPr>
                <w:sz w:val="22"/>
              </w:rPr>
              <w:t>penkiolika dienų nuo paskutinio juodligės atvejo;]</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i/>
                <w:iCs/>
                <w:sz w:val="22"/>
              </w:rPr>
              <w:t xml:space="preserve">arba </w:t>
            </w:r>
            <w:r>
              <w:rPr>
                <w:sz w:val="22"/>
              </w:rPr>
              <w:t>(</w:t>
            </w:r>
            <w:r>
              <w:rPr>
                <w:sz w:val="22"/>
                <w:vertAlign w:val="superscript"/>
              </w:rPr>
              <w:t>2</w:t>
            </w:r>
            <w:r>
              <w:rPr>
                <w:sz w:val="22"/>
              </w:rPr>
              <w:t>)</w:t>
            </w:r>
          </w:p>
        </w:tc>
        <w:tc>
          <w:tcPr>
            <w:tcW w:w="6960" w:type="dxa"/>
            <w:gridSpan w:val="5"/>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[po kergimo, įnosių, visų rūšių arklių </w:t>
            </w:r>
            <w:proofErr w:type="spellStart"/>
            <w:r>
              <w:rPr>
                <w:sz w:val="22"/>
              </w:rPr>
              <w:t>encefalomielito</w:t>
            </w:r>
            <w:proofErr w:type="spellEnd"/>
            <w:r>
              <w:rPr>
                <w:sz w:val="22"/>
              </w:rPr>
              <w:t xml:space="preserve">, arklių infekcinės anemijos, </w:t>
            </w:r>
            <w:proofErr w:type="spellStart"/>
            <w:r>
              <w:rPr>
                <w:sz w:val="22"/>
              </w:rPr>
              <w:t>vezikulinio</w:t>
            </w:r>
            <w:proofErr w:type="spellEnd"/>
            <w:r>
              <w:rPr>
                <w:sz w:val="22"/>
              </w:rPr>
              <w:t xml:space="preserve"> stomatito, juodligės ar pasiutligės atvejų visi atitinkamai ligai imlios rūšies gyvūnai, buvę ūkyje, buvo paskersti arba nužudyti ir draudimas galiojo 30 dienų arba 15 dienų juodligės atveju, skaičiuojant nuo gyvūnų sunaikinimo ir tinkamo patalpų dezinfekavimo dienos;]</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II.6.</w:t>
            </w:r>
          </w:p>
        </w:tc>
        <w:tc>
          <w:tcPr>
            <w:tcW w:w="6960" w:type="dxa"/>
            <w:gridSpan w:val="5"/>
            <w:tcBorders>
              <w:top w:val="nil"/>
              <w:left w:val="nil"/>
              <w:bottom w:val="nil"/>
              <w:right w:val="single" w:sz="6" w:space="0" w:color="auto"/>
            </w:tcBorders>
            <w:shd w:val="clear" w:color="auto" w:fill="FFFFFF"/>
          </w:tcPr>
          <w:p w:rsidR="00BE0861" w:rsidRDefault="00817237">
            <w:pPr>
              <w:widowControl w:val="0"/>
              <w:rPr>
                <w:sz w:val="22"/>
              </w:rPr>
            </w:pPr>
            <w:r>
              <w:rPr>
                <w:sz w:val="22"/>
              </w:rPr>
              <w:t>kiek man žinoma, 15 dienų iki šio pareiškimo dienos jis (jie) neturėjo kontakto su infekcinėmis ar užkrečiamosiomis ligomis sergančiais arklinių šeimos gyvūnais;</w:t>
            </w:r>
          </w:p>
        </w:tc>
      </w:tr>
      <w:tr w:rsidR="00BE0861">
        <w:trPr>
          <w:cantSplit/>
          <w:trHeight w:val="23"/>
        </w:trPr>
        <w:tc>
          <w:tcPr>
            <w:tcW w:w="360" w:type="dxa"/>
            <w:tcBorders>
              <w:top w:val="nil"/>
              <w:left w:val="single" w:sz="4" w:space="0" w:color="auto"/>
              <w:bottom w:val="nil"/>
            </w:tcBorders>
            <w:shd w:val="clear" w:color="auto" w:fill="FFFFFF"/>
          </w:tcPr>
          <w:p w:rsidR="00BE0861" w:rsidRDefault="00BE0861">
            <w:pPr>
              <w:widowControl w:val="0"/>
              <w:rPr>
                <w:sz w:val="22"/>
              </w:rPr>
            </w:pPr>
          </w:p>
        </w:tc>
        <w:tc>
          <w:tcPr>
            <w:tcW w:w="960" w:type="dxa"/>
            <w:tcBorders>
              <w:top w:val="nil"/>
              <w:bottom w:val="nil"/>
              <w:right w:val="nil"/>
            </w:tcBorders>
            <w:shd w:val="clear" w:color="auto" w:fill="FFFFFF"/>
          </w:tcPr>
          <w:p w:rsidR="00BE0861" w:rsidRDefault="00BE0861">
            <w:pPr>
              <w:widowControl w:val="0"/>
              <w:rPr>
                <w:sz w:val="22"/>
              </w:rPr>
            </w:pPr>
          </w:p>
        </w:tc>
        <w:tc>
          <w:tcPr>
            <w:tcW w:w="840" w:type="dxa"/>
            <w:tcBorders>
              <w:top w:val="nil"/>
              <w:left w:val="nil"/>
              <w:bottom w:val="nil"/>
              <w:right w:val="nil"/>
            </w:tcBorders>
            <w:shd w:val="clear" w:color="auto" w:fill="FFFFFF"/>
          </w:tcPr>
          <w:p w:rsidR="00BE0861" w:rsidRDefault="00817237">
            <w:pPr>
              <w:widowControl w:val="0"/>
              <w:rPr>
                <w:sz w:val="22"/>
              </w:rPr>
            </w:pPr>
            <w:r>
              <w:rPr>
                <w:sz w:val="22"/>
              </w:rPr>
              <w:t>II.7.</w:t>
            </w:r>
          </w:p>
        </w:tc>
        <w:tc>
          <w:tcPr>
            <w:tcW w:w="6960" w:type="dxa"/>
            <w:gridSpan w:val="5"/>
            <w:tcBorders>
              <w:top w:val="nil"/>
              <w:left w:val="nil"/>
              <w:bottom w:val="nil"/>
              <w:right w:val="single" w:sz="6" w:space="0" w:color="auto"/>
            </w:tcBorders>
            <w:shd w:val="clear" w:color="auto" w:fill="FFFFFF"/>
          </w:tcPr>
          <w:p w:rsidR="00BE0861" w:rsidRDefault="00817237">
            <w:pPr>
              <w:widowControl w:val="0"/>
              <w:rPr>
                <w:sz w:val="22"/>
              </w:rPr>
            </w:pPr>
            <w:r>
              <w:rPr>
                <w:sz w:val="22"/>
              </w:rPr>
              <w:t>patikrinimo metu pagal Reglamento (EB) Nr. 1/2005 nuostatas (</w:t>
            </w:r>
            <w:r>
              <w:rPr>
                <w:sz w:val="22"/>
                <w:vertAlign w:val="superscript"/>
              </w:rPr>
              <w:t>3</w:t>
            </w:r>
            <w:r>
              <w:rPr>
                <w:sz w:val="22"/>
              </w:rPr>
              <w:t>) jis (jie) buvo tinkamas (-i) vežti numatytu reisu.</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BE0861">
            <w:pPr>
              <w:widowControl w:val="0"/>
              <w:rPr>
                <w:sz w:val="22"/>
              </w:rPr>
            </w:pP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b/>
                <w:bCs/>
                <w:sz w:val="22"/>
              </w:rPr>
              <w:t>Pastabos</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b/>
                <w:bCs/>
                <w:sz w:val="22"/>
              </w:rPr>
              <w:t>I dalis</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Langelis I.6. Turi atitikti CITES leidimo numerį arklinių šeimos gyvūnų, įtrauktų į Vašingtono konvencijos dėl saugomų veislių ir iš jų pagamintų produktų sąrašą, atveju.</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Langelis I.16. Registracijos numeris (geležinkelio vagonų ar konteinerio ir sunkvežimių), reiso numeris (orlaivio) ar pavadinimas (laivo).</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Langelis I.19. Nurodykite tinkamą Pasaulio muitinių organizacijos suderintos sistemos (HS) kodą: 01.01.01 arba 01.01.06.19.</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Langelis I.31. Rūšys: arklys, asilas, mulas, arklėnas, zebras (įskaitant sukryžmintus tų veislių gyvūnus).</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Identifikavimo sistema: iki 2009 m. gruodžio 31 d. turi atitikti Komisijos sprendimo 2000/68/EB 2 straipsnyje aprašytą identifikavimo numerį, o nuo 2010 m. sausio 1 d. – Komisijos reglamento (EB) Nr. 504/2008 2 straipsnio d punkte ir I priedo 1 skirsnio A dalies 4 punkte aprašytą unikalų registracijos numerį.</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b/>
                <w:bCs/>
                <w:sz w:val="22"/>
              </w:rPr>
              <w:t>II dalis</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w:t>
            </w:r>
            <w:r>
              <w:rPr>
                <w:sz w:val="22"/>
                <w:vertAlign w:val="superscript"/>
              </w:rPr>
              <w:t>1</w:t>
            </w:r>
            <w:r>
              <w:rPr>
                <w:sz w:val="22"/>
              </w:rPr>
              <w:t>) Informacijos II.1–II.6 punktuose nereikia, kai yra dvišalis susitarimas, kaip numatyta Direktyvos 2009/156/EB 6 straipsnyje.</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w:t>
            </w:r>
            <w:r>
              <w:rPr>
                <w:sz w:val="22"/>
                <w:vertAlign w:val="superscript"/>
              </w:rPr>
              <w:t>2</w:t>
            </w:r>
            <w:r>
              <w:rPr>
                <w:sz w:val="22"/>
              </w:rPr>
              <w:t>) Netinkamą išbraukti.</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w:t>
            </w:r>
            <w:r>
              <w:rPr>
                <w:sz w:val="22"/>
                <w:vertAlign w:val="superscript"/>
              </w:rPr>
              <w:t>3</w:t>
            </w:r>
            <w:r>
              <w:rPr>
                <w:sz w:val="22"/>
              </w:rPr>
              <w:t>) Šis pareiškimas neatleidžia vežėjų nuo prievolių pagal galiojančias Bendrijos nuostatas, ypač dėl gyvūnų tinkamumo vežti.</w:t>
            </w:r>
          </w:p>
        </w:tc>
      </w:tr>
      <w:tr w:rsidR="00BE0861">
        <w:trPr>
          <w:cantSplit/>
          <w:trHeight w:val="23"/>
        </w:trPr>
        <w:tc>
          <w:tcPr>
            <w:tcW w:w="9120" w:type="dxa"/>
            <w:gridSpan w:val="8"/>
            <w:tcBorders>
              <w:top w:val="nil"/>
              <w:left w:val="single" w:sz="6" w:space="0" w:color="auto"/>
              <w:bottom w:val="nil"/>
              <w:right w:val="single" w:sz="6" w:space="0" w:color="auto"/>
            </w:tcBorders>
            <w:shd w:val="clear" w:color="auto" w:fill="FFFFFF"/>
          </w:tcPr>
          <w:p w:rsidR="00BE0861" w:rsidRDefault="00817237">
            <w:pPr>
              <w:widowControl w:val="0"/>
              <w:rPr>
                <w:sz w:val="22"/>
              </w:rPr>
            </w:pPr>
            <w:r>
              <w:rPr>
                <w:sz w:val="22"/>
              </w:rPr>
              <w:t>– Šis sertifikatas galioja dešimt dienų.</w:t>
            </w:r>
          </w:p>
        </w:tc>
      </w:tr>
      <w:tr w:rsidR="00BE0861">
        <w:trPr>
          <w:cantSplit/>
          <w:trHeight w:val="23"/>
        </w:trPr>
        <w:tc>
          <w:tcPr>
            <w:tcW w:w="9120" w:type="dxa"/>
            <w:gridSpan w:val="8"/>
            <w:tcBorders>
              <w:top w:val="nil"/>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 Antspaudo ir parašo spalva turi skirtis nuo kitų sertifikato įrašų spalvos.</w:t>
            </w:r>
          </w:p>
        </w:tc>
      </w:tr>
      <w:tr w:rsidR="00BE0861">
        <w:trPr>
          <w:cantSplit/>
          <w:trHeight w:val="23"/>
        </w:trPr>
        <w:tc>
          <w:tcPr>
            <w:tcW w:w="9120" w:type="dxa"/>
            <w:gridSpan w:val="8"/>
            <w:tcBorders>
              <w:top w:val="single" w:sz="6" w:space="0" w:color="auto"/>
              <w:left w:val="single" w:sz="6" w:space="0" w:color="auto"/>
              <w:bottom w:val="nil"/>
              <w:right w:val="single" w:sz="6" w:space="0" w:color="auto"/>
            </w:tcBorders>
            <w:shd w:val="clear" w:color="auto" w:fill="FFFFFF"/>
          </w:tcPr>
          <w:p w:rsidR="00BE0861" w:rsidRDefault="00BE0861">
            <w:pPr>
              <w:widowControl w:val="0"/>
              <w:rPr>
                <w:sz w:val="10"/>
              </w:rPr>
            </w:pPr>
          </w:p>
          <w:p w:rsidR="00BE0861" w:rsidRDefault="00817237">
            <w:pPr>
              <w:widowControl w:val="0"/>
              <w:rPr>
                <w:sz w:val="22"/>
              </w:rPr>
            </w:pPr>
            <w:r>
              <w:rPr>
                <w:sz w:val="22"/>
              </w:rPr>
              <w:t>Oficialiai paskirtas veterinarijos gydytojas ar inspektorius</w:t>
            </w:r>
          </w:p>
        </w:tc>
      </w:tr>
      <w:tr w:rsidR="00BE0861">
        <w:trPr>
          <w:cantSplit/>
          <w:trHeight w:val="23"/>
        </w:trPr>
        <w:tc>
          <w:tcPr>
            <w:tcW w:w="4800" w:type="dxa"/>
            <w:gridSpan w:val="5"/>
            <w:tcBorders>
              <w:top w:val="nil"/>
              <w:left w:val="single" w:sz="6" w:space="0" w:color="auto"/>
              <w:bottom w:val="nil"/>
            </w:tcBorders>
            <w:shd w:val="clear" w:color="auto" w:fill="FFFFFF"/>
          </w:tcPr>
          <w:p w:rsidR="00BE0861" w:rsidRDefault="00817237">
            <w:pPr>
              <w:widowControl w:val="0"/>
              <w:tabs>
                <w:tab w:val="left" w:pos="4880"/>
              </w:tabs>
              <w:rPr>
                <w:sz w:val="22"/>
              </w:rPr>
            </w:pPr>
            <w:r>
              <w:rPr>
                <w:sz w:val="22"/>
              </w:rPr>
              <w:lastRenderedPageBreak/>
              <w:t>Vardas ir pavardė (didžiosiomis raidėmis):</w:t>
            </w:r>
          </w:p>
        </w:tc>
        <w:tc>
          <w:tcPr>
            <w:tcW w:w="432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Kvalifikacija ir pareigos:</w:t>
            </w:r>
          </w:p>
        </w:tc>
      </w:tr>
      <w:tr w:rsidR="00BE0861">
        <w:trPr>
          <w:cantSplit/>
          <w:trHeight w:val="23"/>
        </w:trPr>
        <w:tc>
          <w:tcPr>
            <w:tcW w:w="4800" w:type="dxa"/>
            <w:gridSpan w:val="5"/>
            <w:tcBorders>
              <w:top w:val="nil"/>
              <w:left w:val="single" w:sz="6" w:space="0" w:color="auto"/>
              <w:bottom w:val="nil"/>
            </w:tcBorders>
            <w:shd w:val="clear" w:color="auto" w:fill="FFFFFF"/>
          </w:tcPr>
          <w:p w:rsidR="00BE0861" w:rsidRDefault="00817237">
            <w:pPr>
              <w:widowControl w:val="0"/>
              <w:tabs>
                <w:tab w:val="left" w:pos="4880"/>
              </w:tabs>
              <w:rPr>
                <w:sz w:val="22"/>
              </w:rPr>
            </w:pPr>
            <w:r>
              <w:rPr>
                <w:sz w:val="22"/>
              </w:rPr>
              <w:t>Vietos veterinarijos tarnyba:</w:t>
            </w:r>
          </w:p>
        </w:tc>
        <w:tc>
          <w:tcPr>
            <w:tcW w:w="432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 xml:space="preserve">Susijusio WTP Nr. </w:t>
            </w:r>
          </w:p>
        </w:tc>
      </w:tr>
      <w:tr w:rsidR="00BE0861">
        <w:trPr>
          <w:cantSplit/>
          <w:trHeight w:val="23"/>
        </w:trPr>
        <w:tc>
          <w:tcPr>
            <w:tcW w:w="4800" w:type="dxa"/>
            <w:gridSpan w:val="5"/>
            <w:tcBorders>
              <w:top w:val="nil"/>
              <w:left w:val="single" w:sz="6" w:space="0" w:color="auto"/>
              <w:bottom w:val="nil"/>
            </w:tcBorders>
            <w:shd w:val="clear" w:color="auto" w:fill="FFFFFF"/>
          </w:tcPr>
          <w:p w:rsidR="00BE0861" w:rsidRDefault="00817237">
            <w:pPr>
              <w:widowControl w:val="0"/>
              <w:tabs>
                <w:tab w:val="left" w:pos="4880"/>
              </w:tabs>
              <w:rPr>
                <w:sz w:val="22"/>
              </w:rPr>
            </w:pPr>
            <w:r>
              <w:rPr>
                <w:sz w:val="22"/>
              </w:rPr>
              <w:t>Data:</w:t>
            </w:r>
          </w:p>
        </w:tc>
        <w:tc>
          <w:tcPr>
            <w:tcW w:w="4320" w:type="dxa"/>
            <w:gridSpan w:val="3"/>
            <w:tcBorders>
              <w:top w:val="nil"/>
              <w:left w:val="nil"/>
              <w:bottom w:val="nil"/>
              <w:right w:val="single" w:sz="6" w:space="0" w:color="auto"/>
            </w:tcBorders>
            <w:shd w:val="clear" w:color="auto" w:fill="FFFFFF"/>
          </w:tcPr>
          <w:p w:rsidR="00BE0861" w:rsidRDefault="00817237">
            <w:pPr>
              <w:widowControl w:val="0"/>
              <w:rPr>
                <w:sz w:val="22"/>
              </w:rPr>
            </w:pPr>
            <w:r>
              <w:rPr>
                <w:sz w:val="22"/>
              </w:rPr>
              <w:t>Parašas:</w:t>
            </w:r>
          </w:p>
        </w:tc>
      </w:tr>
      <w:tr w:rsidR="00BE0861">
        <w:trPr>
          <w:cantSplit/>
          <w:trHeight w:val="23"/>
        </w:trPr>
        <w:tc>
          <w:tcPr>
            <w:tcW w:w="9120" w:type="dxa"/>
            <w:gridSpan w:val="8"/>
            <w:tcBorders>
              <w:top w:val="nil"/>
              <w:left w:val="single" w:sz="6" w:space="0" w:color="auto"/>
              <w:bottom w:val="single" w:sz="6" w:space="0" w:color="auto"/>
              <w:right w:val="single" w:sz="6" w:space="0" w:color="auto"/>
            </w:tcBorders>
            <w:shd w:val="clear" w:color="auto" w:fill="FFFFFF"/>
          </w:tcPr>
          <w:p w:rsidR="00BE0861" w:rsidRDefault="00817237">
            <w:pPr>
              <w:widowControl w:val="0"/>
              <w:rPr>
                <w:sz w:val="22"/>
              </w:rPr>
            </w:pPr>
            <w:r>
              <w:rPr>
                <w:sz w:val="22"/>
              </w:rPr>
              <w:t>Antspaudas</w:t>
            </w:r>
          </w:p>
          <w:p w:rsidR="00BE0861" w:rsidRDefault="00BE0861">
            <w:pPr>
              <w:widowControl w:val="0"/>
              <w:rPr>
                <w:sz w:val="16"/>
              </w:rPr>
            </w:pPr>
          </w:p>
          <w:p w:rsidR="00BE0861" w:rsidRDefault="00BE0861">
            <w:pPr>
              <w:widowControl w:val="0"/>
              <w:rPr>
                <w:sz w:val="16"/>
              </w:rPr>
            </w:pPr>
          </w:p>
          <w:p w:rsidR="00BE0861" w:rsidRDefault="00BE0861">
            <w:pPr>
              <w:widowControl w:val="0"/>
              <w:rPr>
                <w:sz w:val="22"/>
              </w:rPr>
            </w:pPr>
          </w:p>
        </w:tc>
      </w:tr>
    </w:tbl>
    <w:p w:rsidR="00BE0861" w:rsidRDefault="00BE0861">
      <w:pPr>
        <w:rPr>
          <w:sz w:val="12"/>
        </w:rPr>
      </w:pPr>
    </w:p>
    <w:p w:rsidR="00BE0861" w:rsidRDefault="00817237">
      <w:pPr>
        <w:jc w:val="center"/>
      </w:pPr>
      <w:r>
        <w:t>_________________</w:t>
      </w:r>
    </w:p>
    <w:p w:rsidR="00BE0861" w:rsidRDefault="00817237">
      <w:pPr>
        <w:rPr>
          <w:rFonts w:eastAsia="MS Mincho"/>
          <w:i/>
          <w:iCs/>
          <w:sz w:val="20"/>
        </w:rPr>
      </w:pPr>
      <w:r>
        <w:rPr>
          <w:rFonts w:eastAsia="MS Mincho"/>
          <w:i/>
          <w:iCs/>
          <w:sz w:val="20"/>
        </w:rPr>
        <w:t>Priedo pakeitimai:</w:t>
      </w:r>
    </w:p>
    <w:p w:rsidR="00BE0861" w:rsidRDefault="00817237">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B1-342</w:t>
        </w:r>
      </w:hyperlink>
      <w:r>
        <w:rPr>
          <w:rFonts w:eastAsia="MS Mincho"/>
          <w:i/>
          <w:iCs/>
          <w:sz w:val="20"/>
        </w:rPr>
        <w:t>, 2010-09-20, Žin., 2010, Nr. 113-5816 (2010-09-25), i. k. 110110MISAK00B1-342</w:t>
      </w:r>
    </w:p>
    <w:p w:rsidR="00BE0861" w:rsidRDefault="00BE0861"/>
    <w:p w:rsidR="00BE0861" w:rsidRDefault="00817237">
      <w:pPr>
        <w:ind w:firstLine="567"/>
        <w:jc w:val="both"/>
        <w:rPr>
          <w:b/>
          <w:bCs/>
          <w:sz w:val="22"/>
        </w:rPr>
      </w:pPr>
      <w:r>
        <w:rPr>
          <w:b/>
          <w:sz w:val="22"/>
        </w:rPr>
        <w:t>4 priedas.</w:t>
      </w:r>
      <w:r>
        <w:rPr>
          <w:rFonts w:eastAsia="MS Mincho"/>
          <w:i/>
          <w:iCs/>
          <w:sz w:val="20"/>
        </w:rPr>
        <w:t xml:space="preserve"> Neteko galios nuo 2016-11-26</w:t>
      </w:r>
    </w:p>
    <w:p w:rsidR="00BE0861" w:rsidRDefault="00817237">
      <w:pPr>
        <w:rPr>
          <w:rFonts w:eastAsia="MS Mincho"/>
          <w:i/>
          <w:iCs/>
          <w:sz w:val="20"/>
        </w:rPr>
      </w:pPr>
      <w:r>
        <w:rPr>
          <w:rFonts w:eastAsia="MS Mincho"/>
          <w:i/>
          <w:iCs/>
          <w:sz w:val="20"/>
        </w:rPr>
        <w:t>Priedo naikinimas:</w:t>
      </w:r>
    </w:p>
    <w:p w:rsidR="00BE0861" w:rsidRDefault="00817237">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B1-897</w:t>
        </w:r>
      </w:hyperlink>
      <w:r>
        <w:rPr>
          <w:rFonts w:eastAsia="MS Mincho"/>
          <w:i/>
          <w:iCs/>
          <w:sz w:val="20"/>
        </w:rPr>
        <w:t>, 2016-11-25, paskelbta TAR 2016-11-25, i. k. 2016-27510</w:t>
      </w:r>
    </w:p>
    <w:p w:rsidR="00BE0861" w:rsidRDefault="00BE0861"/>
    <w:p w:rsidR="00BE0861" w:rsidRDefault="00BE0861">
      <w:pPr>
        <w:jc w:val="both"/>
        <w:rPr>
          <w:b/>
          <w:sz w:val="20"/>
        </w:rPr>
      </w:pPr>
    </w:p>
    <w:p w:rsidR="00BE0861" w:rsidRDefault="00BE0861">
      <w:pPr>
        <w:jc w:val="both"/>
        <w:rPr>
          <w:b/>
          <w:sz w:val="20"/>
        </w:rPr>
      </w:pPr>
    </w:p>
    <w:p w:rsidR="00BE0861" w:rsidRDefault="00817237">
      <w:pPr>
        <w:jc w:val="both"/>
        <w:rPr>
          <w:b/>
        </w:rPr>
      </w:pPr>
      <w:r>
        <w:rPr>
          <w:b/>
          <w:sz w:val="20"/>
        </w:rPr>
        <w:t>Pakeitimai:</w:t>
      </w:r>
    </w:p>
    <w:p w:rsidR="00BE0861" w:rsidRDefault="00BE0861">
      <w:pPr>
        <w:jc w:val="both"/>
        <w:rPr>
          <w:sz w:val="20"/>
        </w:rPr>
      </w:pPr>
    </w:p>
    <w:p w:rsidR="00BE0861" w:rsidRDefault="00817237">
      <w:pPr>
        <w:jc w:val="both"/>
      </w:pPr>
      <w:r>
        <w:rPr>
          <w:sz w:val="20"/>
        </w:rPr>
        <w:t>1.</w:t>
      </w:r>
    </w:p>
    <w:p w:rsidR="00BE0861" w:rsidRDefault="00817237">
      <w:pPr>
        <w:jc w:val="both"/>
      </w:pPr>
      <w:r>
        <w:rPr>
          <w:sz w:val="20"/>
        </w:rPr>
        <w:t>Lietuvos Respublikos valstybinė maisto ir veterinarijos tarnyba, Įsakymas</w:t>
      </w:r>
    </w:p>
    <w:p w:rsidR="00BE0861" w:rsidRDefault="00817237">
      <w:pPr>
        <w:jc w:val="both"/>
      </w:pPr>
      <w:r>
        <w:rPr>
          <w:sz w:val="20"/>
        </w:rPr>
        <w:t xml:space="preserve">Nr. </w:t>
      </w:r>
      <w:hyperlink r:id="rId36" w:history="1">
        <w:r w:rsidRPr="00532B9F">
          <w:rPr>
            <w:rFonts w:eastAsia="MS Mincho"/>
            <w:iCs/>
            <w:color w:val="0000FF" w:themeColor="hyperlink"/>
            <w:sz w:val="20"/>
            <w:u w:val="single"/>
          </w:rPr>
          <w:t>B1-351</w:t>
        </w:r>
      </w:hyperlink>
      <w:r>
        <w:rPr>
          <w:rFonts w:eastAsia="MS Mincho"/>
          <w:iCs/>
          <w:sz w:val="20"/>
        </w:rPr>
        <w:t>, 2009-08-06, Žin., 2009, Nr. 106-4466 (2009-09-05), i. k. 109110MISAK00B1-351</w:t>
      </w:r>
    </w:p>
    <w:p w:rsidR="00BE0861" w:rsidRDefault="00817237">
      <w:pPr>
        <w:jc w:val="both"/>
      </w:pPr>
      <w:r>
        <w:rPr>
          <w:sz w:val="20"/>
        </w:rPr>
        <w:t>Dėl Valstybinės maisto ir veterinarijos tarnybos direktoriaus 2005 m. gruodžio 23 d. įsakymo Nr. B1-720 "Dėl Prekybos arklinių šeimos gyvūnais ir jų importo iš trečiųjų šalių veterinarijos reikalavimų patvirtinimo" pakeitimo</w:t>
      </w:r>
    </w:p>
    <w:p w:rsidR="00BE0861" w:rsidRDefault="00BE0861">
      <w:pPr>
        <w:jc w:val="both"/>
        <w:rPr>
          <w:sz w:val="20"/>
        </w:rPr>
      </w:pPr>
    </w:p>
    <w:p w:rsidR="00BE0861" w:rsidRDefault="00817237">
      <w:pPr>
        <w:jc w:val="both"/>
      </w:pPr>
      <w:r>
        <w:rPr>
          <w:sz w:val="20"/>
        </w:rPr>
        <w:t>2.</w:t>
      </w:r>
    </w:p>
    <w:p w:rsidR="00BE0861" w:rsidRDefault="00817237">
      <w:pPr>
        <w:jc w:val="both"/>
      </w:pPr>
      <w:r>
        <w:rPr>
          <w:sz w:val="20"/>
        </w:rPr>
        <w:t>Lietuvos Respublikos valstybinė maisto ir veterinarijos tarnyba, Įsakymas</w:t>
      </w:r>
    </w:p>
    <w:p w:rsidR="00BE0861" w:rsidRDefault="00817237">
      <w:pPr>
        <w:jc w:val="both"/>
      </w:pPr>
      <w:r>
        <w:rPr>
          <w:sz w:val="20"/>
        </w:rPr>
        <w:t xml:space="preserve">Nr. </w:t>
      </w:r>
      <w:hyperlink r:id="rId37" w:history="1">
        <w:r w:rsidRPr="00532B9F">
          <w:rPr>
            <w:rFonts w:eastAsia="MS Mincho"/>
            <w:iCs/>
            <w:color w:val="0000FF" w:themeColor="hyperlink"/>
            <w:sz w:val="20"/>
            <w:u w:val="single"/>
          </w:rPr>
          <w:t>B1-342</w:t>
        </w:r>
      </w:hyperlink>
      <w:r>
        <w:rPr>
          <w:rFonts w:eastAsia="MS Mincho"/>
          <w:iCs/>
          <w:sz w:val="20"/>
        </w:rPr>
        <w:t>, 2010-09-20, Žin., 2010, Nr. 113-5816 (2010-09-25), i. k. 110110MISAK00B1-342</w:t>
      </w:r>
    </w:p>
    <w:p w:rsidR="00BE0861" w:rsidRDefault="00817237">
      <w:pPr>
        <w:jc w:val="both"/>
      </w:pPr>
      <w:r>
        <w:rPr>
          <w:sz w:val="20"/>
        </w:rPr>
        <w:t>Dėl Valstybinės maisto ir veterinarijos tarnybos direktoriaus 2005 m. gruodžio 23 d. įsakymo Nr. B1-720 "Dėl Prekybos arklinių šeimos gyvūnais ir jų importo iš trečiųjų šalių veterinarijos reikalavimų patvirtinimo" pakeitimo</w:t>
      </w:r>
    </w:p>
    <w:p w:rsidR="00BE0861" w:rsidRDefault="00BE0861">
      <w:pPr>
        <w:jc w:val="both"/>
        <w:rPr>
          <w:sz w:val="20"/>
        </w:rPr>
      </w:pPr>
    </w:p>
    <w:p w:rsidR="00BE0861" w:rsidRDefault="00817237">
      <w:pPr>
        <w:jc w:val="both"/>
      </w:pPr>
      <w:r>
        <w:rPr>
          <w:sz w:val="20"/>
        </w:rPr>
        <w:t>3.</w:t>
      </w:r>
    </w:p>
    <w:p w:rsidR="00BE0861" w:rsidRDefault="00817237">
      <w:pPr>
        <w:jc w:val="both"/>
      </w:pPr>
      <w:r>
        <w:rPr>
          <w:sz w:val="20"/>
        </w:rPr>
        <w:t>Lietuvos Respublikos valstybinė maisto ir veterinarijos tarnyba, Įsakymas</w:t>
      </w:r>
    </w:p>
    <w:p w:rsidR="00BE0861" w:rsidRDefault="00817237">
      <w:pPr>
        <w:jc w:val="both"/>
      </w:pPr>
      <w:r>
        <w:rPr>
          <w:sz w:val="20"/>
        </w:rPr>
        <w:t xml:space="preserve">Nr. </w:t>
      </w:r>
      <w:hyperlink r:id="rId38" w:history="1">
        <w:r w:rsidRPr="00532B9F">
          <w:rPr>
            <w:rFonts w:eastAsia="MS Mincho"/>
            <w:iCs/>
            <w:color w:val="0000FF" w:themeColor="hyperlink"/>
            <w:sz w:val="20"/>
            <w:u w:val="single"/>
          </w:rPr>
          <w:t>B1-340</w:t>
        </w:r>
      </w:hyperlink>
      <w:r>
        <w:rPr>
          <w:rFonts w:eastAsia="MS Mincho"/>
          <w:iCs/>
          <w:sz w:val="20"/>
        </w:rPr>
        <w:t>, 2011-06-30, Žin., 2011, Nr. 95-4493 (2011-07-23), i. k. 111110MISAK00B1-340</w:t>
      </w:r>
    </w:p>
    <w:p w:rsidR="00BE0861" w:rsidRDefault="00817237">
      <w:pPr>
        <w:jc w:val="both"/>
      </w:pPr>
      <w:r>
        <w:rPr>
          <w:sz w:val="20"/>
        </w:rPr>
        <w:t>Dėl Valstybinės maisto ir veterinarijos tarnybos direktoriaus 2005 m. gruodžio 23 d. įsakymo Nr. B1-720 "Dėl Prekybos arklinių šeimos gyvūnais ir jų importo iš trečiųjų šalių veterinarijos reikalavimų patvirtinimo" pakeitimo</w:t>
      </w:r>
    </w:p>
    <w:p w:rsidR="00BE0861" w:rsidRDefault="00BE0861">
      <w:pPr>
        <w:jc w:val="both"/>
        <w:rPr>
          <w:sz w:val="20"/>
        </w:rPr>
      </w:pPr>
    </w:p>
    <w:p w:rsidR="00BE0861" w:rsidRDefault="00817237">
      <w:pPr>
        <w:jc w:val="both"/>
      </w:pPr>
      <w:r>
        <w:rPr>
          <w:sz w:val="20"/>
        </w:rPr>
        <w:t>4.</w:t>
      </w:r>
    </w:p>
    <w:p w:rsidR="00BE0861" w:rsidRDefault="00817237">
      <w:pPr>
        <w:jc w:val="both"/>
      </w:pPr>
      <w:r>
        <w:rPr>
          <w:sz w:val="20"/>
        </w:rPr>
        <w:t>Valstybinė maisto ir veterinarijos tarnyba, Įsakymas</w:t>
      </w:r>
    </w:p>
    <w:p w:rsidR="00BE0861" w:rsidRDefault="00817237">
      <w:pPr>
        <w:jc w:val="both"/>
      </w:pPr>
      <w:r>
        <w:rPr>
          <w:sz w:val="20"/>
        </w:rPr>
        <w:t xml:space="preserve">Nr. </w:t>
      </w:r>
      <w:hyperlink r:id="rId39" w:history="1">
        <w:r w:rsidRPr="00532B9F">
          <w:rPr>
            <w:rFonts w:eastAsia="MS Mincho"/>
            <w:iCs/>
            <w:color w:val="0000FF" w:themeColor="hyperlink"/>
            <w:sz w:val="20"/>
            <w:u w:val="single"/>
          </w:rPr>
          <w:t>B1-897</w:t>
        </w:r>
      </w:hyperlink>
      <w:r>
        <w:rPr>
          <w:rFonts w:eastAsia="MS Mincho"/>
          <w:iCs/>
          <w:sz w:val="20"/>
        </w:rPr>
        <w:t>, 2016-11-25, paskelbta TAR 2016-11-25, i. k. 2016-27510</w:t>
      </w:r>
    </w:p>
    <w:p w:rsidR="00BE0861" w:rsidRDefault="00817237">
      <w:pPr>
        <w:jc w:val="both"/>
      </w:pPr>
      <w:r>
        <w:rPr>
          <w:sz w:val="20"/>
        </w:rPr>
        <w:t>Dėl Valstybinės maisto ir veterinarijos tarnybos direktoriaus 2005 m. gruodžio 23 d. įsakymo Nr. B1-720 „Dėl Prekybos arklinių šeimos gyvūnais ir jų importo iš trečiųjų šalių veterinarijos reikalavimų patvirtinimo“  pakeitimo</w:t>
      </w:r>
    </w:p>
    <w:p w:rsidR="00BE0861" w:rsidRDefault="00BE0861">
      <w:pPr>
        <w:jc w:val="both"/>
        <w:rPr>
          <w:sz w:val="20"/>
        </w:rPr>
      </w:pPr>
    </w:p>
    <w:p w:rsidR="00BE0861" w:rsidRDefault="00817237">
      <w:pPr>
        <w:jc w:val="both"/>
      </w:pPr>
      <w:r>
        <w:rPr>
          <w:sz w:val="20"/>
        </w:rPr>
        <w:t>5.</w:t>
      </w:r>
    </w:p>
    <w:p w:rsidR="00BE0861" w:rsidRDefault="00817237">
      <w:pPr>
        <w:jc w:val="both"/>
      </w:pPr>
      <w:r>
        <w:rPr>
          <w:sz w:val="20"/>
        </w:rPr>
        <w:t>Valstybinė maisto ir veterinarijos tarnyba, Įsakymas</w:t>
      </w:r>
    </w:p>
    <w:p w:rsidR="00BE0861" w:rsidRDefault="00817237">
      <w:pPr>
        <w:jc w:val="both"/>
      </w:pPr>
      <w:r>
        <w:rPr>
          <w:sz w:val="20"/>
        </w:rPr>
        <w:t xml:space="preserve">Nr. </w:t>
      </w:r>
      <w:hyperlink r:id="rId40" w:history="1">
        <w:r w:rsidRPr="00532B9F">
          <w:rPr>
            <w:rFonts w:eastAsia="MS Mincho"/>
            <w:iCs/>
            <w:color w:val="0000FF" w:themeColor="hyperlink"/>
            <w:sz w:val="20"/>
            <w:u w:val="single"/>
          </w:rPr>
          <w:t>B1-351</w:t>
        </w:r>
      </w:hyperlink>
      <w:r>
        <w:rPr>
          <w:rFonts w:eastAsia="MS Mincho"/>
          <w:iCs/>
          <w:sz w:val="20"/>
        </w:rPr>
        <w:t>, 2019-05-21, paskelbta TAR 2019-05-21, i. k. 2019-08051</w:t>
      </w:r>
    </w:p>
    <w:p w:rsidR="00BE0861" w:rsidRDefault="00817237">
      <w:pPr>
        <w:jc w:val="both"/>
      </w:pPr>
      <w:r>
        <w:rPr>
          <w:sz w:val="20"/>
        </w:rPr>
        <w:t>Dėl Valstybinės maisto ir veterinarijos tarnybos direktoriaus 2005 m. gruodžio 23 d. įsakymo Nr. B1-720 „Dėl Prekybos arklinių šeimos gyvūnais ir jų importo iš trečiųjų šalių veterinarijos reikalavimų patvirtinimo“ pakeitimo</w:t>
      </w:r>
    </w:p>
    <w:p w:rsidR="00BE0861" w:rsidRDefault="00BE0861">
      <w:pPr>
        <w:jc w:val="both"/>
        <w:rPr>
          <w:sz w:val="20"/>
        </w:rPr>
      </w:pPr>
    </w:p>
    <w:p w:rsidR="00BE0861" w:rsidRDefault="00BE0861">
      <w:pPr>
        <w:widowControl w:val="0"/>
        <w:rPr>
          <w:snapToGrid w:val="0"/>
        </w:rPr>
      </w:pPr>
    </w:p>
    <w:sectPr w:rsidR="00BE0861">
      <w:headerReference w:type="first" r:id="rId41"/>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FE" w:rsidRDefault="00FD7BFE">
      <w:r>
        <w:separator/>
      </w:r>
    </w:p>
  </w:endnote>
  <w:endnote w:type="continuationSeparator" w:id="0">
    <w:p w:rsidR="00FD7BFE" w:rsidRDefault="00FD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FE" w:rsidRDefault="00FD7BFE">
      <w:r>
        <w:separator/>
      </w:r>
    </w:p>
  </w:footnote>
  <w:footnote w:type="continuationSeparator" w:id="0">
    <w:p w:rsidR="00FD7BFE" w:rsidRDefault="00FD7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817237">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BE0861" w:rsidRDefault="00BE0861">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817237">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5A6CD2">
      <w:rPr>
        <w:noProof/>
        <w:lang w:val="en-GB"/>
      </w:rPr>
      <w:t>3</w:t>
    </w:r>
    <w:r>
      <w:rPr>
        <w:lang w:val="en-GB"/>
      </w:rPr>
      <w:fldChar w:fldCharType="end"/>
    </w:r>
  </w:p>
  <w:p w:rsidR="00BE0861" w:rsidRDefault="00BE0861">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pStyle w:val="Antrats"/>
      <w:jc w:val="center"/>
    </w:pPr>
  </w:p>
  <w:p w:rsidR="00BE0861" w:rsidRDefault="00BE0861">
    <w:pPr>
      <w:tabs>
        <w:tab w:val="center" w:pos="4153"/>
        <w:tab w:val="right" w:pos="8306"/>
      </w:tabs>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pStyle w:val="Antrats"/>
      <w:jc w:val="center"/>
    </w:pPr>
  </w:p>
  <w:p w:rsidR="00BE0861" w:rsidRDefault="00BE0861">
    <w:pPr>
      <w:tabs>
        <w:tab w:val="center" w:pos="4153"/>
        <w:tab w:val="right" w:pos="8306"/>
      </w:tabs>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pStyle w:val="Antrats"/>
      <w:jc w:val="center"/>
    </w:pPr>
  </w:p>
  <w:p w:rsidR="00BE0861" w:rsidRDefault="00BE0861">
    <w:pPr>
      <w:tabs>
        <w:tab w:val="center" w:pos="4153"/>
        <w:tab w:val="right" w:pos="8306"/>
      </w:tabs>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pStyle w:val="Antrats"/>
      <w:jc w:val="center"/>
    </w:pPr>
  </w:p>
  <w:p w:rsidR="00BE0861" w:rsidRDefault="00BE0861">
    <w:pPr>
      <w:tabs>
        <w:tab w:val="center" w:pos="4153"/>
        <w:tab w:val="right" w:pos="8306"/>
      </w:tabs>
      <w:rPr>
        <w:lang w:val="en-G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61" w:rsidRDefault="00BE0861">
    <w:pPr>
      <w:pStyle w:val="Antrats"/>
      <w:jc w:val="center"/>
    </w:pPr>
  </w:p>
  <w:p w:rsidR="00BE0861" w:rsidRDefault="00BE0861">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drawingGridHorizontalSpacing w:val="18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EF"/>
    <w:rsid w:val="005A6CD2"/>
    <w:rsid w:val="006A11D0"/>
    <w:rsid w:val="00817237"/>
    <w:rsid w:val="00BE0861"/>
    <w:rsid w:val="00FA69EF"/>
    <w:rsid w:val="00FD7BF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27EE9C-FC12-4FF2-815B-B9363B97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tar.lt/portal/legalAct.html?documentId=TAR.97CC6DE5034B" TargetMode="External"/><Relationship Id="rId39" Type="http://schemas.openxmlformats.org/officeDocument/2006/relationships/hyperlink" Target="https://www.e-tar.lt/portal/legalAct.html?documentId=73ddcbf0b30611e6aae49c0b9525cbbb" TargetMode="External"/><Relationship Id="rId21" Type="http://schemas.openxmlformats.org/officeDocument/2006/relationships/hyperlink" Target="https://www.e-tar.lt/portal/legalAct.html?documentId=TAR.97CC6DE5034B" TargetMode="External"/><Relationship Id="rId34" Type="http://schemas.openxmlformats.org/officeDocument/2006/relationships/hyperlink" Target="https://www.e-tar.lt/portal/legalAct.html?documentId=TAR.A18B030C3C56" TargetMode="External"/><Relationship Id="rId42" Type="http://schemas.openxmlformats.org/officeDocument/2006/relationships/fontTable" Target="fontTable.xml"/><Relationship Id="rId7" Type="http://schemas.openxmlformats.org/officeDocument/2006/relationships/hyperlink" Target="https://www.e-tar.lt/portal/legalAct.html?documentId=TAR.A18B030C3C56"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yperlink" Target="https://www.e-tar.lt/portal/legalAct.html?documentId=TAR.97CC6DE5034B" TargetMode="External"/><Relationship Id="rId29" Type="http://schemas.openxmlformats.org/officeDocument/2006/relationships/hyperlink" Target="https://www.e-tar.lt/portal/legalAct.html?documentId=b54447907bc711e9863cb9ed35b4647a" TargetMode="External"/><Relationship Id="rId41" Type="http://schemas.openxmlformats.org/officeDocument/2006/relationships/header" Target="header7.xml"/><Relationship Id="rId1" Type="http://schemas.openxmlformats.org/officeDocument/2006/relationships/styles" Target="styles.xml"/><Relationship Id="rId6" Type="http://schemas.openxmlformats.org/officeDocument/2006/relationships/hyperlink" Target="https://www.e-tar.lt/portal/legalAct.html?documentId=TAR.3858B6259611" TargetMode="External"/><Relationship Id="rId11" Type="http://schemas.openxmlformats.org/officeDocument/2006/relationships/hyperlink" Target="https://www.e-tar.lt/portal/legalAct.html?documentId=TAR.89CBAB3D6D53" TargetMode="External"/><Relationship Id="rId24" Type="http://schemas.openxmlformats.org/officeDocument/2006/relationships/hyperlink" Target="https://www.e-tar.lt/portal/legalAct.html?documentId=73ddcbf0b30611e6aae49c0b9525cbbb" TargetMode="External"/><Relationship Id="rId32" Type="http://schemas.openxmlformats.org/officeDocument/2006/relationships/hyperlink" Target="https://www.e-tar.lt/portal/legalAct.html?documentId=TAR.A18B030C3C56" TargetMode="External"/><Relationship Id="rId37" Type="http://schemas.openxmlformats.org/officeDocument/2006/relationships/hyperlink" Target="https://www.e-tar.lt/portal/legalAct.html?documentId=TAR.A18B030C3C56" TargetMode="External"/><Relationship Id="rId40" Type="http://schemas.openxmlformats.org/officeDocument/2006/relationships/hyperlink" Target="https://www.e-tar.lt/portal/legalAct.html?documentId=b54447907bc711e9863cb9ed35b4647a"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e-tar.lt/portal/legalAct.html?documentId=73ddcbf0b30611e6aae49c0b9525cbbb" TargetMode="External"/><Relationship Id="rId28" Type="http://schemas.openxmlformats.org/officeDocument/2006/relationships/hyperlink" Target="https://www.e-tar.lt/portal/legalAct.html?documentId=TAR.A18B030C3C56" TargetMode="External"/><Relationship Id="rId36" Type="http://schemas.openxmlformats.org/officeDocument/2006/relationships/hyperlink" Target="https://www.e-tar.lt/portal/legalAct.html?documentId=TAR.97CC6DE5034B" TargetMode="External"/><Relationship Id="rId10" Type="http://schemas.openxmlformats.org/officeDocument/2006/relationships/hyperlink" Target="https://www.e-tar.lt/portal/lt/legalAct/TAR.E58C9A823D3A" TargetMode="External"/><Relationship Id="rId19" Type="http://schemas.openxmlformats.org/officeDocument/2006/relationships/hyperlink" Target="https://www.e-tar.lt/portal/legalAct.html?documentId=TAR.97CC6DE5034B" TargetMode="External"/><Relationship Id="rId31"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s://www.e-tar.lt/portal/legalAct.html?documentId=73ddcbf0b30611e6aae49c0b9525cbbb" TargetMode="External"/><Relationship Id="rId14" Type="http://schemas.openxmlformats.org/officeDocument/2006/relationships/header" Target="header2.xml"/><Relationship Id="rId22" Type="http://schemas.openxmlformats.org/officeDocument/2006/relationships/hyperlink" Target="https://www.e-tar.lt/portal/legalAct.html?documentId=TAR.A18B030C3C56" TargetMode="External"/><Relationship Id="rId27" Type="http://schemas.openxmlformats.org/officeDocument/2006/relationships/hyperlink" Target="https://www.e-tar.lt/portal/legalAct.html?documentId=TAR.A18B030C3C56" TargetMode="External"/><Relationship Id="rId30" Type="http://schemas.openxmlformats.org/officeDocument/2006/relationships/header" Target="header4.xml"/><Relationship Id="rId35" Type="http://schemas.openxmlformats.org/officeDocument/2006/relationships/hyperlink" Target="https://www.e-tar.lt/portal/legalAct.html?documentId=73ddcbf0b30611e6aae49c0b9525cbbb" TargetMode="External"/><Relationship Id="rId43" Type="http://schemas.openxmlformats.org/officeDocument/2006/relationships/theme" Target="theme/theme1.xml"/><Relationship Id="rId8" Type="http://schemas.openxmlformats.org/officeDocument/2006/relationships/hyperlink" Target="https://www.e-tar.lt/portal/legalAct.html?documentId=TAR.89CBAB3D6D53" TargetMode="External"/><Relationship Id="rId3" Type="http://schemas.openxmlformats.org/officeDocument/2006/relationships/webSettings" Target="webSettings.xml"/><Relationship Id="rId12" Type="http://schemas.openxmlformats.org/officeDocument/2006/relationships/hyperlink" Target="https://www.e-tar.lt/portal/legalAct.html?documentId=b54447907bc711e9863cb9ed35b4647a" TargetMode="External"/><Relationship Id="rId17" Type="http://schemas.openxmlformats.org/officeDocument/2006/relationships/header" Target="header3.xml"/><Relationship Id="rId25" Type="http://schemas.openxmlformats.org/officeDocument/2006/relationships/hyperlink" Target="https://www.e-tar.lt/portal/lt/legalAct/TAR.A55BB9D56BB8" TargetMode="External"/><Relationship Id="rId33" Type="http://schemas.openxmlformats.org/officeDocument/2006/relationships/header" Target="header6.xml"/><Relationship Id="rId38" Type="http://schemas.openxmlformats.org/officeDocument/2006/relationships/hyperlink" Target="https://www.e-tar.lt/portal/legalAct.html?documentId=TAR.89CBAB3D6D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24051</Words>
  <Characters>13710</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LIETUVOS RESPUBLIKOS</vt:lpstr>
    </vt:vector>
  </TitlesOfParts>
  <Company>Teisines informacijos centras</Company>
  <LinksUpToDate>false</LinksUpToDate>
  <CharactersWithSpaces>37686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dc:title>
  <dc:creator>Sandra</dc:creator>
  <cp:lastModifiedBy>Edgaras Jeninas</cp:lastModifiedBy>
  <cp:revision>3</cp:revision>
  <dcterms:created xsi:type="dcterms:W3CDTF">2020-08-17T07:55:00Z</dcterms:created>
  <dcterms:modified xsi:type="dcterms:W3CDTF">2020-08-17T08:05:00Z</dcterms:modified>
</cp:coreProperties>
</file>